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AA3" w:rsidRDefault="00882FD5">
      <w:pPr>
        <w:spacing w:line="580" w:lineRule="exact"/>
        <w:ind w:firstLineChars="200" w:firstLine="616"/>
        <w:rPr>
          <w:rFonts w:ascii="黑体" w:eastAsia="黑体" w:hAnsi="黑体" w:cs="黑体"/>
          <w:spacing w:val="-6"/>
          <w:sz w:val="32"/>
          <w:szCs w:val="32"/>
        </w:rPr>
      </w:pPr>
      <w:r>
        <w:rPr>
          <w:rFonts w:ascii="黑体" w:eastAsia="黑体" w:hAnsi="黑体" w:cs="黑体" w:hint="eastAsia"/>
          <w:spacing w:val="-6"/>
          <w:sz w:val="32"/>
          <w:szCs w:val="32"/>
        </w:rPr>
        <w:t>附件</w:t>
      </w:r>
    </w:p>
    <w:p w:rsidR="008E3AA3" w:rsidRDefault="00882FD5">
      <w:pPr>
        <w:spacing w:line="580" w:lineRule="exact"/>
        <w:jc w:val="center"/>
        <w:rPr>
          <w:rFonts w:ascii="方正小标宋简体" w:eastAsia="方正小标宋简体" w:hAnsi="方正小标宋简体" w:cs="方正小标宋简体"/>
          <w:spacing w:val="-6"/>
          <w:kern w:val="0"/>
          <w:sz w:val="44"/>
          <w:szCs w:val="44"/>
        </w:rPr>
      </w:pPr>
      <w:r>
        <w:rPr>
          <w:rFonts w:ascii="方正小标宋简体" w:eastAsia="方正小标宋简体" w:hAnsi="方正小标宋简体" w:cs="方正小标宋简体" w:hint="eastAsia"/>
          <w:spacing w:val="-6"/>
          <w:kern w:val="0"/>
          <w:sz w:val="44"/>
          <w:szCs w:val="44"/>
        </w:rPr>
        <w:t>青海省落实健康中国行动考核指标</w:t>
      </w:r>
    </w:p>
    <w:tbl>
      <w:tblPr>
        <w:tblW w:w="8425" w:type="dxa"/>
        <w:jc w:val="center"/>
        <w:tblInd w:w="-8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196"/>
        <w:gridCol w:w="585"/>
        <w:gridCol w:w="5820"/>
        <w:gridCol w:w="824"/>
      </w:tblGrid>
      <w:tr w:rsidR="008E3AA3">
        <w:trPr>
          <w:trHeight w:val="321"/>
          <w:jc w:val="center"/>
        </w:trPr>
        <w:tc>
          <w:tcPr>
            <w:tcW w:w="1196" w:type="dxa"/>
            <w:tcMar>
              <w:top w:w="0" w:type="dxa"/>
              <w:left w:w="108" w:type="dxa"/>
              <w:bottom w:w="0" w:type="dxa"/>
              <w:right w:w="108" w:type="dxa"/>
            </w:tcMar>
            <w:vAlign w:val="center"/>
          </w:tcPr>
          <w:p w:rsidR="008E3AA3" w:rsidRDefault="00882FD5">
            <w:pPr>
              <w:widowControl/>
              <w:jc w:val="center"/>
              <w:rPr>
                <w:spacing w:val="-6"/>
                <w:kern w:val="0"/>
                <w:sz w:val="18"/>
                <w:szCs w:val="18"/>
              </w:rPr>
            </w:pPr>
            <w:r>
              <w:rPr>
                <w:b/>
                <w:bCs/>
                <w:spacing w:val="-6"/>
                <w:kern w:val="0"/>
                <w:sz w:val="18"/>
                <w:szCs w:val="18"/>
              </w:rPr>
              <w:t>考核依据</w:t>
            </w:r>
          </w:p>
        </w:tc>
        <w:tc>
          <w:tcPr>
            <w:tcW w:w="585" w:type="dxa"/>
            <w:tcMar>
              <w:top w:w="0" w:type="dxa"/>
              <w:left w:w="108" w:type="dxa"/>
              <w:bottom w:w="0" w:type="dxa"/>
              <w:right w:w="108" w:type="dxa"/>
            </w:tcMar>
            <w:vAlign w:val="center"/>
          </w:tcPr>
          <w:p w:rsidR="008E3AA3" w:rsidRDefault="00882FD5">
            <w:pPr>
              <w:widowControl/>
              <w:jc w:val="center"/>
              <w:rPr>
                <w:spacing w:val="-6"/>
                <w:kern w:val="0"/>
                <w:sz w:val="18"/>
                <w:szCs w:val="18"/>
              </w:rPr>
            </w:pPr>
            <w:r>
              <w:rPr>
                <w:b/>
                <w:bCs/>
                <w:spacing w:val="-6"/>
                <w:kern w:val="0"/>
                <w:sz w:val="18"/>
                <w:szCs w:val="18"/>
              </w:rPr>
              <w:t>序号</w:t>
            </w:r>
          </w:p>
        </w:tc>
        <w:tc>
          <w:tcPr>
            <w:tcW w:w="5820" w:type="dxa"/>
            <w:tcMar>
              <w:top w:w="0" w:type="dxa"/>
              <w:left w:w="108" w:type="dxa"/>
              <w:bottom w:w="0" w:type="dxa"/>
              <w:right w:w="108" w:type="dxa"/>
            </w:tcMar>
            <w:vAlign w:val="center"/>
          </w:tcPr>
          <w:p w:rsidR="008E3AA3" w:rsidRDefault="00882FD5">
            <w:pPr>
              <w:widowControl/>
              <w:jc w:val="center"/>
              <w:rPr>
                <w:spacing w:val="-6"/>
                <w:kern w:val="0"/>
                <w:sz w:val="18"/>
                <w:szCs w:val="18"/>
              </w:rPr>
            </w:pPr>
            <w:r>
              <w:rPr>
                <w:b/>
                <w:bCs/>
                <w:spacing w:val="-6"/>
                <w:kern w:val="0"/>
                <w:sz w:val="18"/>
                <w:szCs w:val="18"/>
              </w:rPr>
              <w:t>标</w:t>
            </w:r>
            <w:r>
              <w:rPr>
                <w:b/>
                <w:bCs/>
                <w:spacing w:val="-6"/>
                <w:kern w:val="0"/>
                <w:sz w:val="18"/>
                <w:szCs w:val="18"/>
              </w:rPr>
              <w:t>    </w:t>
            </w:r>
            <w:r>
              <w:rPr>
                <w:b/>
                <w:bCs/>
                <w:spacing w:val="-6"/>
                <w:kern w:val="0"/>
                <w:sz w:val="18"/>
                <w:szCs w:val="18"/>
              </w:rPr>
              <w:t>指</w:t>
            </w:r>
          </w:p>
        </w:tc>
        <w:tc>
          <w:tcPr>
            <w:tcW w:w="824" w:type="dxa"/>
            <w:tcMar>
              <w:top w:w="0" w:type="dxa"/>
              <w:left w:w="108" w:type="dxa"/>
              <w:bottom w:w="0" w:type="dxa"/>
              <w:right w:w="108" w:type="dxa"/>
            </w:tcMar>
            <w:vAlign w:val="center"/>
          </w:tcPr>
          <w:p w:rsidR="008E3AA3" w:rsidRDefault="00882FD5">
            <w:pPr>
              <w:widowControl/>
              <w:jc w:val="center"/>
              <w:rPr>
                <w:spacing w:val="-6"/>
                <w:kern w:val="0"/>
                <w:sz w:val="18"/>
                <w:szCs w:val="18"/>
              </w:rPr>
            </w:pPr>
            <w:r>
              <w:rPr>
                <w:spacing w:val="-6"/>
                <w:kern w:val="0"/>
                <w:sz w:val="18"/>
                <w:szCs w:val="18"/>
              </w:rPr>
              <w:t>2022</w:t>
            </w:r>
            <w:r>
              <w:rPr>
                <w:spacing w:val="-6"/>
                <w:kern w:val="0"/>
                <w:sz w:val="18"/>
                <w:szCs w:val="18"/>
              </w:rPr>
              <w:t>年</w:t>
            </w:r>
          </w:p>
        </w:tc>
      </w:tr>
      <w:tr w:rsidR="008E3AA3">
        <w:trPr>
          <w:trHeight w:val="321"/>
          <w:jc w:val="center"/>
        </w:trPr>
        <w:tc>
          <w:tcPr>
            <w:tcW w:w="1196" w:type="dxa"/>
            <w:vMerge w:val="restart"/>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w:t>
            </w:r>
            <w:r>
              <w:rPr>
                <w:spacing w:val="-6"/>
                <w:kern w:val="0"/>
                <w:sz w:val="18"/>
                <w:szCs w:val="18"/>
              </w:rPr>
              <w:t>“</w:t>
            </w:r>
            <w:r>
              <w:rPr>
                <w:spacing w:val="-6"/>
                <w:kern w:val="0"/>
                <w:sz w:val="18"/>
                <w:szCs w:val="18"/>
              </w:rPr>
              <w:t>健康青海</w:t>
            </w:r>
            <w:r>
              <w:rPr>
                <w:spacing w:val="-6"/>
                <w:kern w:val="0"/>
                <w:sz w:val="18"/>
                <w:szCs w:val="18"/>
              </w:rPr>
              <w:t>2030”</w:t>
            </w:r>
            <w:r>
              <w:rPr>
                <w:spacing w:val="-6"/>
                <w:kern w:val="0"/>
                <w:sz w:val="18"/>
                <w:szCs w:val="18"/>
              </w:rPr>
              <w:t>行动计划》</w:t>
            </w: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1</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人均预期寿命（岁）</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74.5</w:t>
            </w:r>
          </w:p>
        </w:tc>
      </w:tr>
      <w:tr w:rsidR="008E3AA3">
        <w:trPr>
          <w:trHeight w:val="321"/>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2</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婴儿死亡率（</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≤9</w:t>
            </w:r>
          </w:p>
        </w:tc>
      </w:tr>
      <w:tr w:rsidR="008E3AA3">
        <w:trPr>
          <w:trHeight w:val="321"/>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3</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5</w:t>
            </w:r>
            <w:r>
              <w:rPr>
                <w:spacing w:val="-6"/>
                <w:kern w:val="0"/>
                <w:sz w:val="18"/>
                <w:szCs w:val="18"/>
              </w:rPr>
              <w:t>岁以下儿童死亡率（</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≤11</w:t>
            </w:r>
          </w:p>
        </w:tc>
      </w:tr>
      <w:tr w:rsidR="008E3AA3">
        <w:trPr>
          <w:trHeight w:val="321"/>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4</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孕产妇死亡率（</w:t>
            </w:r>
            <w:r>
              <w:rPr>
                <w:spacing w:val="-6"/>
                <w:kern w:val="0"/>
                <w:sz w:val="18"/>
                <w:szCs w:val="18"/>
              </w:rPr>
              <w:t>1/10</w:t>
            </w:r>
            <w:r>
              <w:rPr>
                <w:spacing w:val="-6"/>
                <w:kern w:val="0"/>
                <w:sz w:val="18"/>
                <w:szCs w:val="18"/>
              </w:rPr>
              <w:t>万）</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≤24</w:t>
            </w:r>
          </w:p>
        </w:tc>
      </w:tr>
      <w:tr w:rsidR="008E3AA3">
        <w:trPr>
          <w:trHeight w:val="399"/>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5</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城乡居民达到《国民体质测定标准》合格以上的人数比例（</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≥90.5</w:t>
            </w:r>
          </w:p>
        </w:tc>
      </w:tr>
      <w:tr w:rsidR="008E3AA3">
        <w:trPr>
          <w:trHeight w:val="321"/>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6</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居民健康素养水平（</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rFonts w:eastAsia="宋体"/>
                <w:spacing w:val="-6"/>
                <w:kern w:val="0"/>
                <w:sz w:val="18"/>
                <w:szCs w:val="18"/>
              </w:rPr>
            </w:pPr>
            <w:r>
              <w:rPr>
                <w:spacing w:val="-6"/>
                <w:kern w:val="0"/>
                <w:sz w:val="18"/>
                <w:szCs w:val="18"/>
              </w:rPr>
              <w:t>≥</w:t>
            </w:r>
            <w:r>
              <w:rPr>
                <w:rFonts w:hint="eastAsia"/>
                <w:spacing w:val="-6"/>
                <w:kern w:val="0"/>
                <w:sz w:val="18"/>
                <w:szCs w:val="18"/>
              </w:rPr>
              <w:t>22</w:t>
            </w:r>
          </w:p>
        </w:tc>
      </w:tr>
      <w:tr w:rsidR="008E3AA3">
        <w:trPr>
          <w:trHeight w:val="368"/>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7</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经常参加体育锻炼人数比例（</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≥36</w:t>
            </w:r>
          </w:p>
        </w:tc>
      </w:tr>
      <w:tr w:rsidR="008E3AA3">
        <w:trPr>
          <w:trHeight w:val="380"/>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8</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重大慢性病过早死亡率（</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≤15.9</w:t>
            </w:r>
          </w:p>
        </w:tc>
      </w:tr>
      <w:tr w:rsidR="008E3AA3">
        <w:trPr>
          <w:trHeight w:val="321"/>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9</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每千常住人口执业（助理）医师数（人）</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2.93</w:t>
            </w:r>
          </w:p>
        </w:tc>
      </w:tr>
      <w:tr w:rsidR="008E3AA3">
        <w:trPr>
          <w:trHeight w:val="321"/>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10</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个人卫生支出占卫生总费用的比重（</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≤25</w:t>
            </w:r>
          </w:p>
        </w:tc>
      </w:tr>
      <w:tr w:rsidR="008E3AA3">
        <w:trPr>
          <w:trHeight w:val="599"/>
          <w:jc w:val="center"/>
        </w:trPr>
        <w:tc>
          <w:tcPr>
            <w:tcW w:w="1196" w:type="dxa"/>
            <w:vMerge w:val="restart"/>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青海省落实《健康中国行动（</w:t>
            </w:r>
            <w:r>
              <w:rPr>
                <w:spacing w:val="-6"/>
                <w:kern w:val="0"/>
                <w:sz w:val="18"/>
                <w:szCs w:val="18"/>
              </w:rPr>
              <w:t>2019-</w:t>
            </w:r>
          </w:p>
          <w:p w:rsidR="008E3AA3" w:rsidRDefault="00882FD5">
            <w:pPr>
              <w:widowControl/>
              <w:spacing w:line="260" w:lineRule="exact"/>
              <w:rPr>
                <w:spacing w:val="-6"/>
                <w:kern w:val="0"/>
                <w:sz w:val="18"/>
                <w:szCs w:val="18"/>
              </w:rPr>
            </w:pPr>
            <w:r>
              <w:rPr>
                <w:spacing w:val="-6"/>
                <w:kern w:val="0"/>
                <w:sz w:val="18"/>
                <w:szCs w:val="18"/>
              </w:rPr>
              <w:t>2030</w:t>
            </w:r>
            <w:r>
              <w:rPr>
                <w:spacing w:val="-6"/>
                <w:kern w:val="0"/>
                <w:sz w:val="18"/>
                <w:szCs w:val="18"/>
              </w:rPr>
              <w:t>）年》实施方案和相关规划文件</w:t>
            </w: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11</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建立并完善健康科普专家库和资源库，构建健康科普知识发布和传播机制</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建立</w:t>
            </w:r>
          </w:p>
        </w:tc>
      </w:tr>
      <w:tr w:rsidR="008E3AA3">
        <w:trPr>
          <w:trHeight w:val="369"/>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12</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建立医疗机构和医务人员开展健康教育和健康促进的绩效考核机制</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建立</w:t>
            </w:r>
          </w:p>
        </w:tc>
      </w:tr>
      <w:tr w:rsidR="008E3AA3">
        <w:trPr>
          <w:trHeight w:val="321"/>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13</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产前筛查率（</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≥60</w:t>
            </w:r>
          </w:p>
        </w:tc>
      </w:tr>
      <w:tr w:rsidR="008E3AA3">
        <w:trPr>
          <w:trHeight w:val="321"/>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14</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新生儿遗传代谢性疾病筛查率（</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≥90</w:t>
            </w:r>
          </w:p>
        </w:tc>
      </w:tr>
      <w:tr w:rsidR="008E3AA3">
        <w:trPr>
          <w:trHeight w:val="321"/>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15</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农村适龄妇女宫颈癌和乳腺癌筛查覆盖率（</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≥40</w:t>
            </w:r>
          </w:p>
        </w:tc>
      </w:tr>
      <w:tr w:rsidR="008E3AA3">
        <w:trPr>
          <w:trHeight w:val="309"/>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16</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城乡居民达到《国民体质测定标准》合格以上的人数比例（</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≥90.5</w:t>
            </w:r>
          </w:p>
        </w:tc>
      </w:tr>
      <w:tr w:rsidR="008E3AA3">
        <w:trPr>
          <w:trHeight w:val="321"/>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17</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符合要求的中小学体育与健康课程开课率（</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100</w:t>
            </w:r>
          </w:p>
        </w:tc>
      </w:tr>
      <w:tr w:rsidR="008E3AA3">
        <w:trPr>
          <w:trHeight w:val="321"/>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18</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中小学生每天校内体育活动时间（小时）</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≥1</w:t>
            </w:r>
          </w:p>
        </w:tc>
      </w:tr>
      <w:tr w:rsidR="008E3AA3">
        <w:trPr>
          <w:trHeight w:val="321"/>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tcPr>
          <w:p w:rsidR="008E3AA3" w:rsidRDefault="008E3AA3">
            <w:pPr>
              <w:widowControl/>
              <w:spacing w:line="260" w:lineRule="exact"/>
              <w:jc w:val="left"/>
              <w:rPr>
                <w:spacing w:val="-6"/>
                <w:kern w:val="0"/>
                <w:sz w:val="18"/>
                <w:szCs w:val="18"/>
              </w:rPr>
            </w:pPr>
          </w:p>
          <w:p w:rsidR="008E3AA3" w:rsidRDefault="00882FD5">
            <w:pPr>
              <w:widowControl/>
              <w:spacing w:line="260" w:lineRule="exact"/>
              <w:ind w:firstLineChars="100" w:firstLine="168"/>
              <w:jc w:val="left"/>
              <w:rPr>
                <w:spacing w:val="-6"/>
                <w:kern w:val="0"/>
                <w:sz w:val="18"/>
                <w:szCs w:val="18"/>
              </w:rPr>
            </w:pPr>
            <w:r>
              <w:rPr>
                <w:spacing w:val="-6"/>
                <w:kern w:val="0"/>
                <w:sz w:val="18"/>
                <w:szCs w:val="18"/>
              </w:rPr>
              <w:t>19</w:t>
            </w:r>
          </w:p>
        </w:tc>
        <w:tc>
          <w:tcPr>
            <w:tcW w:w="5820" w:type="dxa"/>
            <w:tcMar>
              <w:top w:w="0" w:type="dxa"/>
              <w:left w:w="108" w:type="dxa"/>
              <w:bottom w:w="0" w:type="dxa"/>
              <w:right w:w="108" w:type="dxa"/>
            </w:tcMar>
            <w:vAlign w:val="center"/>
          </w:tcPr>
          <w:p w:rsidR="008E3AA3" w:rsidRDefault="00882FD5">
            <w:pPr>
              <w:spacing w:line="260" w:lineRule="exact"/>
              <w:rPr>
                <w:spacing w:val="-6"/>
                <w:kern w:val="0"/>
                <w:sz w:val="18"/>
                <w:szCs w:val="18"/>
              </w:rPr>
            </w:pPr>
            <w:r>
              <w:rPr>
                <w:spacing w:val="-6"/>
                <w:kern w:val="0"/>
                <w:sz w:val="18"/>
                <w:szCs w:val="18"/>
              </w:rPr>
              <w:t>寄宿制中小学校或</w:t>
            </w:r>
            <w:r>
              <w:rPr>
                <w:spacing w:val="-6"/>
                <w:kern w:val="0"/>
                <w:sz w:val="18"/>
                <w:szCs w:val="18"/>
              </w:rPr>
              <w:t>600</w:t>
            </w:r>
            <w:r>
              <w:rPr>
                <w:spacing w:val="-6"/>
                <w:kern w:val="0"/>
                <w:sz w:val="18"/>
                <w:szCs w:val="18"/>
              </w:rPr>
              <w:t>名学生以上的非寄宿制中小学校配备专职卫生专业技术人员、</w:t>
            </w:r>
            <w:r>
              <w:rPr>
                <w:spacing w:val="-6"/>
                <w:kern w:val="0"/>
                <w:sz w:val="18"/>
                <w:szCs w:val="18"/>
              </w:rPr>
              <w:t>600</w:t>
            </w:r>
            <w:r>
              <w:rPr>
                <w:spacing w:val="-6"/>
                <w:kern w:val="0"/>
                <w:sz w:val="18"/>
                <w:szCs w:val="18"/>
              </w:rPr>
              <w:t>名学生以下的非寄宿制中小学校配备专兼职保健教师或卫生专业技术人员的比例（</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≥70</w:t>
            </w:r>
          </w:p>
        </w:tc>
      </w:tr>
      <w:tr w:rsidR="008E3AA3">
        <w:trPr>
          <w:trHeight w:val="414"/>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20</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配备专兼职心理健康工作人员的中小学校比例（</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≥80</w:t>
            </w:r>
          </w:p>
        </w:tc>
      </w:tr>
      <w:tr w:rsidR="008E3AA3">
        <w:trPr>
          <w:trHeight w:val="599"/>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21</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接尘工龄不足</w:t>
            </w:r>
            <w:r>
              <w:rPr>
                <w:spacing w:val="-6"/>
                <w:kern w:val="0"/>
                <w:sz w:val="18"/>
                <w:szCs w:val="18"/>
              </w:rPr>
              <w:t>5</w:t>
            </w:r>
            <w:r>
              <w:rPr>
                <w:spacing w:val="-6"/>
                <w:kern w:val="0"/>
                <w:sz w:val="18"/>
                <w:szCs w:val="18"/>
              </w:rPr>
              <w:t>年的劳动者新发尘肺病报告例数占年度报告总例数比例（</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明显下降</w:t>
            </w:r>
          </w:p>
        </w:tc>
      </w:tr>
      <w:tr w:rsidR="008E3AA3">
        <w:trPr>
          <w:trHeight w:val="321"/>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22</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二级以上综合性医院设老年医学科比例（</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≥50</w:t>
            </w:r>
          </w:p>
        </w:tc>
      </w:tr>
      <w:tr w:rsidR="008E3AA3">
        <w:trPr>
          <w:trHeight w:val="321"/>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23</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高血压患者规范管理率（</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≥60</w:t>
            </w:r>
          </w:p>
        </w:tc>
      </w:tr>
      <w:tr w:rsidR="008E3AA3">
        <w:trPr>
          <w:trHeight w:val="321"/>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24</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糖尿病患者规范管理率（</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≥60</w:t>
            </w:r>
          </w:p>
        </w:tc>
      </w:tr>
      <w:tr w:rsidR="008E3AA3">
        <w:trPr>
          <w:trHeight w:val="588"/>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25</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乡镇卫生院、社区卫生服务中心提供中医非药物疗法的比例（</w:t>
            </w:r>
            <w:r>
              <w:rPr>
                <w:spacing w:val="-6"/>
                <w:kern w:val="0"/>
                <w:sz w:val="18"/>
                <w:szCs w:val="18"/>
              </w:rPr>
              <w:t>%</w:t>
            </w:r>
            <w:r>
              <w:rPr>
                <w:spacing w:val="-6"/>
                <w:kern w:val="0"/>
                <w:sz w:val="18"/>
                <w:szCs w:val="18"/>
              </w:rPr>
              <w:t>），村卫生室提供中医非药物疗法的比例（</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100</w:t>
            </w:r>
            <w:r>
              <w:rPr>
                <w:spacing w:val="-6"/>
                <w:kern w:val="0"/>
                <w:sz w:val="18"/>
                <w:szCs w:val="18"/>
              </w:rPr>
              <w:t>，</w:t>
            </w:r>
            <w:r>
              <w:rPr>
                <w:spacing w:val="-6"/>
                <w:kern w:val="0"/>
                <w:sz w:val="18"/>
                <w:szCs w:val="18"/>
              </w:rPr>
              <w:t>70</w:t>
            </w:r>
          </w:p>
        </w:tc>
      </w:tr>
      <w:tr w:rsidR="008E3AA3">
        <w:trPr>
          <w:trHeight w:val="341"/>
          <w:jc w:val="center"/>
        </w:trPr>
        <w:tc>
          <w:tcPr>
            <w:tcW w:w="1196" w:type="dxa"/>
            <w:vMerge/>
            <w:vAlign w:val="center"/>
          </w:tcPr>
          <w:p w:rsidR="008E3AA3" w:rsidRDefault="008E3AA3">
            <w:pPr>
              <w:widowControl/>
              <w:spacing w:line="260" w:lineRule="exact"/>
              <w:jc w:val="left"/>
              <w:rPr>
                <w:spacing w:val="-6"/>
                <w:kern w:val="0"/>
                <w:sz w:val="18"/>
                <w:szCs w:val="18"/>
              </w:rPr>
            </w:pPr>
          </w:p>
        </w:tc>
        <w:tc>
          <w:tcPr>
            <w:tcW w:w="585"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26</w:t>
            </w:r>
          </w:p>
        </w:tc>
        <w:tc>
          <w:tcPr>
            <w:tcW w:w="5820" w:type="dxa"/>
            <w:tcMar>
              <w:top w:w="0" w:type="dxa"/>
              <w:left w:w="108" w:type="dxa"/>
              <w:bottom w:w="0" w:type="dxa"/>
              <w:right w:w="108" w:type="dxa"/>
            </w:tcMar>
            <w:vAlign w:val="center"/>
          </w:tcPr>
          <w:p w:rsidR="008E3AA3" w:rsidRDefault="00882FD5">
            <w:pPr>
              <w:widowControl/>
              <w:spacing w:line="260" w:lineRule="exact"/>
              <w:rPr>
                <w:spacing w:val="-6"/>
                <w:kern w:val="0"/>
                <w:sz w:val="18"/>
                <w:szCs w:val="18"/>
              </w:rPr>
            </w:pPr>
            <w:r>
              <w:rPr>
                <w:spacing w:val="-6"/>
                <w:kern w:val="0"/>
                <w:sz w:val="18"/>
                <w:szCs w:val="18"/>
              </w:rPr>
              <w:t>以乡（镇、街道）为单位适龄儿童免疫规划疫苗接种率（</w:t>
            </w:r>
            <w:r>
              <w:rPr>
                <w:spacing w:val="-6"/>
                <w:kern w:val="0"/>
                <w:sz w:val="18"/>
                <w:szCs w:val="18"/>
              </w:rPr>
              <w:t>%</w:t>
            </w:r>
            <w:r>
              <w:rPr>
                <w:spacing w:val="-6"/>
                <w:kern w:val="0"/>
                <w:sz w:val="18"/>
                <w:szCs w:val="18"/>
              </w:rPr>
              <w:t>）</w:t>
            </w:r>
          </w:p>
        </w:tc>
        <w:tc>
          <w:tcPr>
            <w:tcW w:w="824" w:type="dxa"/>
            <w:tcMar>
              <w:top w:w="0" w:type="dxa"/>
              <w:left w:w="108" w:type="dxa"/>
              <w:bottom w:w="0" w:type="dxa"/>
              <w:right w:w="108" w:type="dxa"/>
            </w:tcMar>
            <w:vAlign w:val="center"/>
          </w:tcPr>
          <w:p w:rsidR="008E3AA3" w:rsidRDefault="00882FD5">
            <w:pPr>
              <w:widowControl/>
              <w:spacing w:line="260" w:lineRule="exact"/>
              <w:jc w:val="center"/>
              <w:rPr>
                <w:spacing w:val="-6"/>
                <w:kern w:val="0"/>
                <w:sz w:val="18"/>
                <w:szCs w:val="18"/>
              </w:rPr>
            </w:pPr>
            <w:r>
              <w:rPr>
                <w:spacing w:val="-6"/>
                <w:kern w:val="0"/>
                <w:sz w:val="18"/>
                <w:szCs w:val="18"/>
              </w:rPr>
              <w:t>＞</w:t>
            </w:r>
            <w:r>
              <w:rPr>
                <w:spacing w:val="-6"/>
                <w:kern w:val="0"/>
                <w:sz w:val="18"/>
                <w:szCs w:val="18"/>
              </w:rPr>
              <w:t>90</w:t>
            </w:r>
          </w:p>
        </w:tc>
      </w:tr>
    </w:tbl>
    <w:p w:rsidR="008E3AA3" w:rsidRDefault="00882FD5">
      <w:pPr>
        <w:widowControl/>
        <w:spacing w:line="260" w:lineRule="exact"/>
        <w:rPr>
          <w:rFonts w:eastAsia="仿宋_GB2312"/>
          <w:spacing w:val="-6"/>
          <w:kern w:val="0"/>
          <w:sz w:val="32"/>
          <w:szCs w:val="32"/>
        </w:rPr>
      </w:pPr>
      <w:r>
        <w:rPr>
          <w:rFonts w:eastAsia="仿宋_GB2312"/>
          <w:spacing w:val="-6"/>
          <w:kern w:val="0"/>
          <w:sz w:val="32"/>
          <w:szCs w:val="32"/>
        </w:rPr>
        <w:t xml:space="preserve">　</w:t>
      </w:r>
    </w:p>
    <w:p w:rsidR="008E3AA3" w:rsidRDefault="008E3AA3">
      <w:pPr>
        <w:ind w:firstLineChars="200" w:firstLine="616"/>
        <w:rPr>
          <w:rFonts w:ascii="仿宋_GB2312" w:eastAsia="仿宋_GB2312" w:hAnsi="仿宋_GB2312" w:cs="仿宋_GB2312"/>
          <w:spacing w:val="-6"/>
          <w:sz w:val="32"/>
          <w:szCs w:val="32"/>
        </w:rPr>
      </w:pPr>
    </w:p>
    <w:sectPr w:rsidR="008E3AA3" w:rsidSect="008E3A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FD5" w:rsidRDefault="00882FD5" w:rsidP="00B86EC9">
      <w:r>
        <w:separator/>
      </w:r>
    </w:p>
  </w:endnote>
  <w:endnote w:type="continuationSeparator" w:id="0">
    <w:p w:rsidR="00882FD5" w:rsidRDefault="00882FD5" w:rsidP="00B86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FD5" w:rsidRDefault="00882FD5" w:rsidP="00B86EC9">
      <w:r>
        <w:separator/>
      </w:r>
    </w:p>
  </w:footnote>
  <w:footnote w:type="continuationSeparator" w:id="0">
    <w:p w:rsidR="00882FD5" w:rsidRDefault="00882FD5" w:rsidP="00B86E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3AA3"/>
    <w:rsid w:val="00882FD5"/>
    <w:rsid w:val="008E3AA3"/>
    <w:rsid w:val="00B86EC9"/>
    <w:rsid w:val="48094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8E3AA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E3AA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E3AA3"/>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B86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86EC9"/>
    <w:rPr>
      <w:rFonts w:asciiTheme="minorHAnsi" w:eastAsiaTheme="minorEastAsia" w:hAnsiTheme="minorHAnsi" w:cstheme="minorBidi"/>
      <w:kern w:val="2"/>
      <w:sz w:val="18"/>
      <w:szCs w:val="18"/>
    </w:rPr>
  </w:style>
  <w:style w:type="paragraph" w:styleId="a5">
    <w:name w:val="footer"/>
    <w:basedOn w:val="a"/>
    <w:link w:val="Char0"/>
    <w:rsid w:val="00B86EC9"/>
    <w:pPr>
      <w:tabs>
        <w:tab w:val="center" w:pos="4153"/>
        <w:tab w:val="right" w:pos="8306"/>
      </w:tabs>
      <w:snapToGrid w:val="0"/>
      <w:jc w:val="left"/>
    </w:pPr>
    <w:rPr>
      <w:sz w:val="18"/>
      <w:szCs w:val="18"/>
    </w:rPr>
  </w:style>
  <w:style w:type="character" w:customStyle="1" w:styleId="Char0">
    <w:name w:val="页脚 Char"/>
    <w:basedOn w:val="a0"/>
    <w:link w:val="a5"/>
    <w:rsid w:val="00B86EC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李娟</cp:lastModifiedBy>
  <cp:revision>2</cp:revision>
  <dcterms:created xsi:type="dcterms:W3CDTF">2014-10-29T12:08:00Z</dcterms:created>
  <dcterms:modified xsi:type="dcterms:W3CDTF">2020-06-11T03:14:00Z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