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5E8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AEAA2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AC22A9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67.222.30</w:t>
            </w:r>
            <w:r>
              <w:rPr>
                <w:rFonts w:ascii="黑体" w:hAnsi="黑体" w:eastAsia="黑体"/>
                <w:sz w:val="21"/>
                <w:szCs w:val="21"/>
              </w:rPr>
              <w:fldChar w:fldCharType="end"/>
            </w:r>
            <w:bookmarkEnd w:id="0"/>
          </w:p>
        </w:tc>
      </w:tr>
      <w:tr w14:paraId="4749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17BF9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C1E08E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X38</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8AC65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476B28B">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S63</w:t>
            </w:r>
            <w:r>
              <w:fldChar w:fldCharType="end"/>
            </w:r>
            <w:bookmarkEnd w:id="3"/>
          </w:p>
        </w:tc>
      </w:tr>
    </w:tbl>
    <w:p w14:paraId="48AE56EE">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青海省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349B7CF">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S63</w:t>
      </w:r>
      <w:r>
        <w:rPr>
          <w:rFonts w:hint="eastAsia"/>
          <w:lang w:val="en-US" w:eastAsia="zh-CN"/>
        </w:rPr>
        <w: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0001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1E1D67C1">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DBS63/0001-2019</w:t>
      </w:r>
      <w:r>
        <w:rPr>
          <w:rFonts w:hAnsi="黑体"/>
        </w:rPr>
        <w:fldChar w:fldCharType="end"/>
      </w:r>
      <w:bookmarkEnd w:id="8"/>
    </w:p>
    <w:p w14:paraId="69220BA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2552B7">
      <w:pPr>
        <w:pStyle w:val="50"/>
        <w:framePr w:w="9639" w:h="6976" w:hRule="exact" w:hSpace="0" w:vSpace="0" w:wrap="around" w:hAnchor="page" w:y="6408"/>
        <w:jc w:val="center"/>
        <w:rPr>
          <w:rFonts w:hint="eastAsia" w:ascii="黑体" w:hAnsi="黑体" w:eastAsia="黑体"/>
          <w:b w:val="0"/>
          <w:bCs w:val="0"/>
          <w:w w:val="100"/>
        </w:rPr>
      </w:pPr>
    </w:p>
    <w:p w14:paraId="1B03B0A9">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食品安全地方标准</w:t>
      </w:r>
    </w:p>
    <w:p w14:paraId="64E322E6">
      <w:pPr>
        <w:pStyle w:val="197"/>
        <w:framePr w:h="6974" w:hRule="exact" w:wrap="around" w:x="1419" w:anchorLock="1"/>
        <w:rPr>
          <w:rFonts w:hint="eastAsia"/>
        </w:rPr>
      </w:pPr>
      <w:r>
        <w:rPr>
          <w:rFonts w:hint="eastAsia"/>
        </w:rPr>
        <w:t>茶卡盐</w:t>
      </w:r>
      <w:r>
        <w:fldChar w:fldCharType="end"/>
      </w:r>
      <w:bookmarkEnd w:id="9"/>
    </w:p>
    <w:p w14:paraId="78BECB63">
      <w:pPr>
        <w:framePr w:w="9639" w:h="6974" w:hRule="exact" w:wrap="around" w:vAnchor="page" w:hAnchor="page" w:x="1419" w:y="6408" w:anchorLock="1"/>
        <w:ind w:left="-1418"/>
      </w:pPr>
    </w:p>
    <w:p w14:paraId="4A8D7C24">
      <w:pPr>
        <w:pStyle w:val="125"/>
        <w:framePr w:w="9639" w:h="6974" w:hRule="exact" w:wrap="around" w:vAnchor="page" w:hAnchor="page" w:x="1419" w:y="6408" w:anchorLock="1"/>
        <w:textAlignment w:val="bottom"/>
        <w:rPr>
          <w:rFonts w:eastAsia="黑体"/>
          <w:szCs w:val="28"/>
        </w:rPr>
      </w:pPr>
    </w:p>
    <w:p w14:paraId="30E04F90">
      <w:pPr>
        <w:framePr w:w="9639" w:h="6974" w:hRule="exact" w:wrap="around" w:vAnchor="page" w:hAnchor="page" w:x="1419" w:y="6408" w:anchorLock="1"/>
        <w:spacing w:line="760" w:lineRule="exact"/>
        <w:ind w:left="-1418"/>
      </w:pPr>
    </w:p>
    <w:p w14:paraId="28592307">
      <w:pPr>
        <w:pStyle w:val="125"/>
        <w:framePr w:w="9639" w:h="6974" w:hRule="exact" w:wrap="around" w:vAnchor="page" w:hAnchor="page" w:x="1419" w:y="6408" w:anchorLock="1"/>
        <w:textAlignment w:val="bottom"/>
        <w:rPr>
          <w:rFonts w:eastAsia="黑体"/>
          <w:szCs w:val="28"/>
        </w:rPr>
      </w:pPr>
    </w:p>
    <w:p w14:paraId="7EA1839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1542B6C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3B6A2E9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7389D880">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5"/>
      <w:r>
        <w:rPr>
          <w:rFonts w:hint="eastAsia"/>
        </w:rPr>
        <w:t>发布</w:t>
      </w:r>
    </w:p>
    <w:p w14:paraId="0A43A68E">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8"/>
      <w:r>
        <w:rPr>
          <w:rFonts w:hint="eastAsia"/>
        </w:rPr>
        <w:t>实施</w:t>
      </w:r>
    </w:p>
    <w:p w14:paraId="60595965">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青海省卫生健</w:t>
      </w:r>
      <w:bookmarkStart w:id="53" w:name="_GoBack"/>
      <w:bookmarkEnd w:id="53"/>
      <w:r>
        <w:rPr>
          <w:rFonts w:hint="eastAsia" w:hAnsi="黑体"/>
          <w:w w:val="100"/>
          <w:sz w:val="28"/>
        </w:rPr>
        <w:t>康委员会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EC7604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DF5E2B">
      <w:pPr>
        <w:pStyle w:val="91"/>
        <w:spacing w:after="468"/>
        <w:rPr>
          <w:rFonts w:hint="eastAsia"/>
        </w:rPr>
      </w:pPr>
      <w:bookmarkStart w:id="20" w:name="BookMark1"/>
      <w:r>
        <w:rPr>
          <w:rFonts w:hint="eastAsia"/>
          <w:spacing w:val="320"/>
        </w:rPr>
        <w:t>目</w:t>
      </w:r>
      <w:r>
        <w:rPr>
          <w:rFonts w:hint="eastAsia"/>
        </w:rPr>
        <w:t>次</w:t>
      </w:r>
    </w:p>
    <w:p w14:paraId="4EC4B46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"_Toc193819681"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_Toc193819681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6B4A832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_Toc193819682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4973D6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_Toc193819683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91C3D9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_Toc193819684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B7480A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"_Toc193819685" </w:instrText>
      </w:r>
      <w:r>
        <w:fldChar w:fldCharType="separate"/>
      </w:r>
      <w:r>
        <w:rPr>
          <w:rStyle w:val="32"/>
          <w:rFonts w:hint="eastAsia"/>
        </w:rPr>
        <w:t>4</w:t>
      </w:r>
      <w:r>
        <w:rPr>
          <w:rStyle w:val="32"/>
        </w:rPr>
        <w:t xml:space="preserve"> </w:t>
      </w:r>
      <w:r>
        <w:rPr>
          <w:rStyle w:val="32"/>
          <w:rFonts w:hint="eastAsia"/>
        </w:rPr>
        <w:t xml:space="preserve"> 要求</w:t>
      </w:r>
      <w:r>
        <w:rPr>
          <w:rFonts w:hint="eastAsia"/>
        </w:rPr>
        <w:tab/>
      </w:r>
      <w:r>
        <w:rPr>
          <w:rFonts w:hint="eastAsia"/>
        </w:rPr>
        <w:fldChar w:fldCharType="begin"/>
      </w:r>
      <w:r>
        <w:rPr>
          <w:rFonts w:hint="eastAsia"/>
        </w:rPr>
        <w:instrText xml:space="preserve"> </w:instrText>
      </w:r>
      <w:r>
        <w:instrText xml:space="preserve">PAGEREF _Toc193819685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F7897F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"_Toc193819686" </w:instrText>
      </w:r>
      <w:r>
        <w:fldChar w:fldCharType="separate"/>
      </w:r>
      <w:r>
        <w:rPr>
          <w:rStyle w:val="32"/>
          <w:rFonts w:hint="eastAsia"/>
        </w:rPr>
        <w:t>5</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_Toc193819686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06A4D3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"_Toc193819687" </w:instrText>
      </w:r>
      <w:r>
        <w:fldChar w:fldCharType="separate"/>
      </w:r>
      <w:r>
        <w:rPr>
          <w:rStyle w:val="32"/>
          <w:rFonts w:hint="eastAsia"/>
        </w:rPr>
        <w:t>6</w:t>
      </w:r>
      <w:r>
        <w:rPr>
          <w:rStyle w:val="32"/>
        </w:rPr>
        <w:t xml:space="preserve"> </w:t>
      </w:r>
      <w:r>
        <w:rPr>
          <w:rStyle w:val="32"/>
          <w:rFonts w:hint="eastAsia"/>
        </w:rPr>
        <w:t xml:space="preserve"> 判定规则</w:t>
      </w:r>
      <w:r>
        <w:rPr>
          <w:rFonts w:hint="eastAsia"/>
        </w:rPr>
        <w:tab/>
      </w:r>
      <w:r>
        <w:rPr>
          <w:rFonts w:hint="eastAsia"/>
        </w:rPr>
        <w:fldChar w:fldCharType="begin"/>
      </w:r>
      <w:r>
        <w:rPr>
          <w:rFonts w:hint="eastAsia"/>
        </w:rPr>
        <w:instrText xml:space="preserve"> </w:instrText>
      </w:r>
      <w:r>
        <w:instrText xml:space="preserve">PAGEREF _Toc193819687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920640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"_Toc193819688" </w:instrText>
      </w:r>
      <w:r>
        <w:fldChar w:fldCharType="separate"/>
      </w:r>
      <w:r>
        <w:rPr>
          <w:rStyle w:val="32"/>
          <w:rFonts w:hint="eastAsia"/>
        </w:rPr>
        <w:t>7</w:t>
      </w:r>
      <w:r>
        <w:rPr>
          <w:rStyle w:val="32"/>
        </w:rPr>
        <w:t xml:space="preserve"> </w:t>
      </w:r>
      <w:r>
        <w:rPr>
          <w:rStyle w:val="32"/>
          <w:rFonts w:hint="eastAsia"/>
        </w:rPr>
        <w:t xml:space="preserve"> 标签、包装、运输、贮存</w:t>
      </w:r>
      <w:r>
        <w:rPr>
          <w:rFonts w:hint="eastAsia"/>
        </w:rPr>
        <w:tab/>
      </w:r>
      <w:r>
        <w:rPr>
          <w:rFonts w:hint="eastAsia"/>
        </w:rPr>
        <w:fldChar w:fldCharType="begin"/>
      </w:r>
      <w:r>
        <w:rPr>
          <w:rFonts w:hint="eastAsia"/>
        </w:rPr>
        <w:instrText xml:space="preserve"> </w:instrText>
      </w:r>
      <w:r>
        <w:instrText xml:space="preserve">PAGEREF _Toc193819688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22AC65F">
      <w:pPr>
        <w:pStyle w:val="56"/>
        <w:ind w:firstLine="420"/>
      </w:pPr>
      <w:r>
        <w:fldChar w:fldCharType="end"/>
      </w:r>
    </w:p>
    <w:p w14:paraId="7FD8B26E">
      <w:pPr>
        <w:pStyle w:val="56"/>
        <w:ind w:firstLine="420"/>
      </w:pPr>
    </w:p>
    <w:p w14:paraId="51ED5882">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0"/>
    <w:p w14:paraId="41F8FCE7">
      <w:pPr>
        <w:pStyle w:val="89"/>
        <w:spacing w:after="468"/>
        <w:ind w:left="0" w:firstLine="0"/>
        <w:rPr>
          <w:rFonts w:hint="eastAsia"/>
        </w:rPr>
      </w:pPr>
      <w:bookmarkStart w:id="21" w:name="_Toc193819681"/>
      <w:bookmarkStart w:id="22" w:name="BookMark2"/>
      <w:r>
        <w:rPr>
          <w:rFonts w:hint="eastAsia"/>
          <w:spacing w:val="320"/>
        </w:rPr>
        <w:t>前</w:t>
      </w:r>
      <w:r>
        <w:rPr>
          <w:rFonts w:hint="eastAsia"/>
        </w:rPr>
        <w:t>言</w:t>
      </w:r>
      <w:bookmarkEnd w:id="21"/>
    </w:p>
    <w:p w14:paraId="559B6677">
      <w:pPr>
        <w:pStyle w:val="56"/>
        <w:ind w:firstLine="420"/>
        <w:rPr>
          <w:rFonts w:hint="eastAsia"/>
        </w:rPr>
      </w:pPr>
      <w:r>
        <w:rPr>
          <w:rFonts w:hint="eastAsia"/>
        </w:rPr>
        <w:t>本文件按照GB/T 1.1—2020《标准化工作导则  第1部分：标准化文件的结构和起草规则》的规定起草。</w:t>
      </w:r>
    </w:p>
    <w:p w14:paraId="5255A61F">
      <w:pPr>
        <w:pStyle w:val="56"/>
        <w:ind w:firstLine="420"/>
        <w:rPr>
          <w:rFonts w:hint="eastAsia"/>
        </w:rPr>
      </w:pPr>
      <w:r>
        <w:rPr>
          <w:rFonts w:hint="eastAsia"/>
        </w:rPr>
        <w:t>本文件代替DBS63/0001-2019《食品安全地方标准茶卡盐》。与DBS63/0001-2019相比，除编辑性修改外主要变化如下：</w:t>
      </w:r>
    </w:p>
    <w:p w14:paraId="3AD2DF16">
      <w:pPr>
        <w:pStyle w:val="132"/>
        <w:rPr>
          <w:rFonts w:hint="eastAsia"/>
        </w:rPr>
      </w:pPr>
      <w:r>
        <w:rPr>
          <w:rFonts w:hint="eastAsia"/>
        </w:rPr>
        <w:t>修改了适用范围，增加茶卡盐种类范围适用性（见3.1，2019年版的3.1）；</w:t>
      </w:r>
    </w:p>
    <w:p w14:paraId="46C51114">
      <w:pPr>
        <w:pStyle w:val="132"/>
        <w:rPr>
          <w:rFonts w:hint="eastAsia"/>
        </w:rPr>
      </w:pPr>
      <w:r>
        <w:rPr>
          <w:rFonts w:hint="eastAsia"/>
        </w:rPr>
        <w:t xml:space="preserve">增加了低钠盐，修改了粒度、氯化钠及抗结剂指标（见4.5，2019年版的4.5）； </w:t>
      </w:r>
    </w:p>
    <w:p w14:paraId="112D0E0D">
      <w:pPr>
        <w:pStyle w:val="132"/>
        <w:rPr>
          <w:rFonts w:hint="eastAsia"/>
        </w:rPr>
      </w:pPr>
      <w:r>
        <w:rPr>
          <w:rFonts w:hint="eastAsia"/>
        </w:rPr>
        <w:t>修改了铅指标，增加了总砷（见4.6，2019年版的4.6）；</w:t>
      </w:r>
    </w:p>
    <w:p w14:paraId="0880BDC7">
      <w:pPr>
        <w:pStyle w:val="132"/>
        <w:rPr>
          <w:rFonts w:hint="eastAsia"/>
        </w:rPr>
      </w:pPr>
      <w:r>
        <w:rPr>
          <w:rFonts w:hint="eastAsia"/>
        </w:rPr>
        <w:t>更新了《定量包装商品计量监督管理办法》（见4.8，2019年版的4.8）。</w:t>
      </w:r>
    </w:p>
    <w:p w14:paraId="4DFD1F7C">
      <w:pPr>
        <w:pStyle w:val="56"/>
        <w:ind w:firstLine="420"/>
        <w:rPr>
          <w:rFonts w:hint="eastAsia"/>
        </w:rPr>
      </w:pPr>
      <w:r>
        <w:rPr>
          <w:rFonts w:hint="eastAsia"/>
        </w:rPr>
        <w:t>请注意本文件的某些内容可能涉及专利。本文件的发布机构不承担识别专利的责任。</w:t>
      </w:r>
    </w:p>
    <w:p w14:paraId="02ADA7A0">
      <w:pPr>
        <w:pStyle w:val="56"/>
        <w:ind w:firstLine="420"/>
        <w:rPr>
          <w:rFonts w:hint="eastAsia"/>
        </w:rPr>
      </w:pPr>
      <w:r>
        <w:rPr>
          <w:rFonts w:hint="eastAsia"/>
        </w:rPr>
        <w:t>本文件由青海省卫生健康委员会提出并归口。</w:t>
      </w:r>
    </w:p>
    <w:p w14:paraId="5B0454DA">
      <w:pPr>
        <w:pStyle w:val="56"/>
        <w:ind w:firstLine="420"/>
        <w:rPr>
          <w:rFonts w:hint="eastAsia"/>
        </w:rPr>
      </w:pPr>
      <w:r>
        <w:rPr>
          <w:rFonts w:hint="eastAsia"/>
        </w:rPr>
        <w:t>本文件起草单位：青海省盐业股份有限公司、青海嘉湖盐业有限公司、青海柯柯制盐有限公司。</w:t>
      </w:r>
    </w:p>
    <w:p w14:paraId="50382416">
      <w:pPr>
        <w:pStyle w:val="56"/>
        <w:ind w:firstLine="420"/>
        <w:rPr>
          <w:rFonts w:hint="eastAsia"/>
        </w:rPr>
      </w:pPr>
      <w:r>
        <w:rPr>
          <w:rFonts w:hint="eastAsia"/>
        </w:rPr>
        <w:t>本文件主要起草人：刘朝昆、韩文学、董岩、孔会民、谭生禄、古丽、黄飞、顾永军、星学旭、杨灵芝。</w:t>
      </w:r>
    </w:p>
    <w:p w14:paraId="14CD3843">
      <w:pPr>
        <w:pStyle w:val="56"/>
        <w:ind w:firstLine="420"/>
        <w:rPr>
          <w:rFonts w:hint="eastAsia"/>
        </w:rPr>
      </w:pPr>
      <w:r>
        <w:rPr>
          <w:rFonts w:hint="eastAsia"/>
        </w:rPr>
        <w:t>本文件及其所代替文件的历次版本发布情况为：</w:t>
      </w:r>
    </w:p>
    <w:p w14:paraId="1FF414C5">
      <w:pPr>
        <w:pStyle w:val="132"/>
        <w:rPr>
          <w:rFonts w:hint="eastAsia"/>
        </w:rPr>
      </w:pPr>
      <w:r>
        <w:rPr>
          <w:rFonts w:hint="eastAsia"/>
        </w:rPr>
        <w:t>DBS63/0001-2017；</w:t>
      </w:r>
    </w:p>
    <w:p w14:paraId="71CD8668">
      <w:pPr>
        <w:pStyle w:val="132"/>
        <w:rPr>
          <w:rFonts w:hint="eastAsia"/>
        </w:rPr>
      </w:pPr>
      <w:r>
        <w:rPr>
          <w:rFonts w:hint="eastAsia"/>
        </w:rPr>
        <w:t>DBS63/0001-2019。</w:t>
      </w:r>
    </w:p>
    <w:p w14:paraId="68F1C652">
      <w:pPr>
        <w:pStyle w:val="56"/>
        <w:ind w:firstLine="420"/>
        <w:rPr>
          <w:rFonts w:hint="eastAsia"/>
        </w:rPr>
      </w:pPr>
    </w:p>
    <w:p w14:paraId="4B666E39">
      <w:pPr>
        <w:pStyle w:val="56"/>
        <w:ind w:firstLine="420"/>
        <w:rPr>
          <w:rFonts w:hint="eastAsia"/>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2"/>
    <w:p w14:paraId="21C5E69A">
      <w:pPr>
        <w:spacing w:line="20" w:lineRule="exact"/>
        <w:jc w:val="center"/>
        <w:rPr>
          <w:rFonts w:hint="eastAsia" w:ascii="黑体" w:hAnsi="黑体" w:eastAsia="黑体"/>
          <w:sz w:val="32"/>
          <w:szCs w:val="32"/>
        </w:rPr>
      </w:pPr>
      <w:bookmarkStart w:id="23" w:name="BookMark4"/>
    </w:p>
    <w:p w14:paraId="402C751E">
      <w:pPr>
        <w:spacing w:line="20" w:lineRule="exact"/>
        <w:jc w:val="center"/>
        <w:rPr>
          <w:rFonts w:hint="eastAsia" w:ascii="黑体" w:hAnsi="黑体" w:eastAsia="黑体"/>
          <w:sz w:val="32"/>
          <w:szCs w:val="32"/>
        </w:rPr>
      </w:pPr>
    </w:p>
    <w:sdt>
      <w:sdtPr>
        <w:tag w:val="NEW_STAND_NAME"/>
        <w:id w:val="595910757"/>
        <w:lock w:val="sdtLocked"/>
        <w:placeholder>
          <w:docPart w:val="BBD12A6992404E599CAD45640CF093C7"/>
        </w:placeholder>
      </w:sdtPr>
      <w:sdtContent>
        <w:p w14:paraId="680BC08C">
          <w:pPr>
            <w:pStyle w:val="177"/>
            <w:spacing w:before="312" w:beforeLines="100" w:after="3" w:afterLines="1"/>
            <w:rPr>
              <w:rFonts w:hint="eastAsia"/>
            </w:rPr>
          </w:pPr>
          <w:bookmarkStart w:id="24" w:name="NEW_STAND_NAME"/>
          <w:r>
            <w:rPr>
              <w:rFonts w:hint="eastAsia"/>
            </w:rPr>
            <w:t>食品安全地方标准</w:t>
          </w:r>
        </w:p>
        <w:p w14:paraId="0495CB35">
          <w:pPr>
            <w:pStyle w:val="177"/>
            <w:spacing w:before="3" w:beforeLines="1" w:after="680"/>
            <w:rPr>
              <w:rFonts w:hint="eastAsia"/>
            </w:rPr>
          </w:pPr>
          <w:r>
            <w:rPr>
              <w:rFonts w:hint="eastAsia"/>
            </w:rPr>
            <w:t>茶卡盐</w:t>
          </w:r>
        </w:p>
      </w:sdtContent>
    </w:sdt>
    <w:bookmarkEnd w:id="24"/>
    <w:p w14:paraId="01A1526D">
      <w:pPr>
        <w:pStyle w:val="104"/>
        <w:spacing w:before="312" w:after="312"/>
      </w:pPr>
      <w:bookmarkStart w:id="25" w:name="_Toc24884218"/>
      <w:bookmarkStart w:id="26" w:name="_Toc193819682"/>
      <w:bookmarkStart w:id="27" w:name="_Toc97191423"/>
      <w:bookmarkStart w:id="28" w:name="_Toc24884211"/>
      <w:bookmarkStart w:id="29" w:name="_Toc26718930"/>
      <w:bookmarkStart w:id="30" w:name="_Toc17233333"/>
      <w:bookmarkStart w:id="31" w:name="_Toc26986771"/>
      <w:bookmarkStart w:id="32" w:name="_Toc17233325"/>
      <w:bookmarkStart w:id="33" w:name="_Toc26648465"/>
      <w:bookmarkStart w:id="34" w:name="_Toc26986530"/>
      <w:r>
        <w:rPr>
          <w:rFonts w:hint="eastAsia"/>
        </w:rPr>
        <w:t>范围</w:t>
      </w:r>
      <w:bookmarkEnd w:id="25"/>
      <w:bookmarkEnd w:id="26"/>
      <w:bookmarkEnd w:id="27"/>
      <w:bookmarkEnd w:id="28"/>
      <w:bookmarkEnd w:id="29"/>
      <w:bookmarkEnd w:id="30"/>
      <w:bookmarkEnd w:id="31"/>
      <w:bookmarkEnd w:id="32"/>
      <w:bookmarkEnd w:id="33"/>
      <w:bookmarkEnd w:id="34"/>
    </w:p>
    <w:p w14:paraId="258322BB">
      <w:pPr>
        <w:pStyle w:val="56"/>
        <w:ind w:firstLine="420"/>
        <w:rPr>
          <w:rFonts w:hint="eastAsia"/>
        </w:rPr>
      </w:pPr>
      <w:bookmarkStart w:id="35" w:name="_Toc17233334"/>
      <w:bookmarkStart w:id="36" w:name="_Toc17233326"/>
      <w:bookmarkStart w:id="37" w:name="_Toc26648466"/>
      <w:bookmarkStart w:id="38" w:name="_Toc24884219"/>
      <w:bookmarkStart w:id="39" w:name="_Toc24884212"/>
      <w:r>
        <w:rPr>
          <w:rFonts w:hint="eastAsia"/>
        </w:rPr>
        <w:t>本文件规定了茶卡盐的术语和定义、要求、试验方法、检验规则、判定规则、标签、包装、运输和贮存。</w:t>
      </w:r>
    </w:p>
    <w:p w14:paraId="24E3CC7B">
      <w:pPr>
        <w:pStyle w:val="56"/>
        <w:ind w:firstLine="420"/>
      </w:pPr>
      <w:r>
        <w:rPr>
          <w:rFonts w:hint="eastAsia"/>
        </w:rPr>
        <w:t>本文件适用于以茶卡盐湖、柯柯盐湖原生盐或日晒盐为原料加工制成的食用盐。</w:t>
      </w:r>
    </w:p>
    <w:p w14:paraId="52285CF5">
      <w:pPr>
        <w:pStyle w:val="104"/>
        <w:spacing w:before="312" w:after="312"/>
      </w:pPr>
      <w:bookmarkStart w:id="40" w:name="_Toc193819683"/>
      <w:bookmarkStart w:id="41" w:name="_Toc26718931"/>
      <w:bookmarkStart w:id="42" w:name="_Toc97191424"/>
      <w:bookmarkStart w:id="43" w:name="_Toc26986772"/>
      <w:bookmarkStart w:id="44" w:name="_Toc269865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C04A8F5086A445EABFF193E1BF8C3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182F2EA">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4968D3">
      <w:pPr>
        <w:pStyle w:val="56"/>
        <w:ind w:firstLine="420"/>
        <w:rPr>
          <w:rFonts w:hint="eastAsia"/>
        </w:rPr>
      </w:pPr>
      <w:r>
        <w:rPr>
          <w:rFonts w:hint="eastAsia"/>
        </w:rPr>
        <w:t>GB 2721  食品安全国家标准  食用盐</w:t>
      </w:r>
    </w:p>
    <w:p w14:paraId="47472957">
      <w:pPr>
        <w:pStyle w:val="56"/>
        <w:ind w:firstLine="420"/>
        <w:rPr>
          <w:rFonts w:hint="eastAsia"/>
        </w:rPr>
      </w:pPr>
      <w:r>
        <w:rPr>
          <w:rFonts w:hint="eastAsia"/>
        </w:rPr>
        <w:t>GB 2760  食品安全国家标准  食品添加剂使用标准</w:t>
      </w:r>
    </w:p>
    <w:p w14:paraId="1009BB69">
      <w:pPr>
        <w:pStyle w:val="56"/>
        <w:ind w:firstLine="420"/>
        <w:rPr>
          <w:rFonts w:hint="eastAsia"/>
        </w:rPr>
      </w:pPr>
      <w:r>
        <w:rPr>
          <w:rFonts w:hint="eastAsia"/>
        </w:rPr>
        <w:t>GB 4806.7  食品安全国家标准  食品接触用塑料材料及制品</w:t>
      </w:r>
    </w:p>
    <w:p w14:paraId="60676596">
      <w:pPr>
        <w:pStyle w:val="56"/>
        <w:ind w:firstLine="420"/>
        <w:rPr>
          <w:rFonts w:hint="eastAsia"/>
        </w:rPr>
      </w:pPr>
      <w:r>
        <w:rPr>
          <w:rFonts w:hint="eastAsia"/>
        </w:rPr>
        <w:t>GB 4806.13  食品安全国家标准  食品接触用复合材料及制品</w:t>
      </w:r>
    </w:p>
    <w:p w14:paraId="5F9E8490">
      <w:pPr>
        <w:pStyle w:val="56"/>
        <w:ind w:firstLine="420"/>
        <w:rPr>
          <w:rFonts w:hint="eastAsia"/>
        </w:rPr>
      </w:pPr>
      <w:r>
        <w:rPr>
          <w:rFonts w:hint="eastAsia"/>
        </w:rPr>
        <w:t>GB 5009.42  食品安全国家标准  食盐指标的测定</w:t>
      </w:r>
    </w:p>
    <w:p w14:paraId="5F507448">
      <w:pPr>
        <w:pStyle w:val="56"/>
        <w:ind w:firstLine="420"/>
        <w:rPr>
          <w:rFonts w:hint="eastAsia"/>
        </w:rPr>
      </w:pPr>
      <w:r>
        <w:rPr>
          <w:rFonts w:hint="eastAsia"/>
        </w:rPr>
        <w:t>GB 7718  食品安全国家标准  预包装食品标签通则</w:t>
      </w:r>
    </w:p>
    <w:p w14:paraId="2C89E48B">
      <w:pPr>
        <w:pStyle w:val="56"/>
        <w:ind w:firstLine="420"/>
        <w:rPr>
          <w:rFonts w:hint="eastAsia"/>
        </w:rPr>
      </w:pPr>
      <w:r>
        <w:rPr>
          <w:rFonts w:hint="eastAsia"/>
        </w:rPr>
        <w:t>GB/T 8618  制盐工业主要产品取样方法</w:t>
      </w:r>
    </w:p>
    <w:p w14:paraId="41118209">
      <w:pPr>
        <w:pStyle w:val="56"/>
        <w:ind w:firstLine="420"/>
        <w:rPr>
          <w:rFonts w:hint="eastAsia"/>
        </w:rPr>
      </w:pPr>
      <w:r>
        <w:rPr>
          <w:rFonts w:hint="eastAsia"/>
        </w:rPr>
        <w:t>GB/T 13025.1  制盐工业通用试验方法  粒度的测定</w:t>
      </w:r>
    </w:p>
    <w:p w14:paraId="57B66F6E">
      <w:pPr>
        <w:pStyle w:val="56"/>
        <w:ind w:firstLine="420"/>
        <w:rPr>
          <w:rFonts w:hint="eastAsia"/>
        </w:rPr>
      </w:pPr>
      <w:r>
        <w:rPr>
          <w:rFonts w:hint="eastAsia"/>
        </w:rPr>
        <w:t>GB/T 13025.2  制盐工业通用试验方法  白度的测定</w:t>
      </w:r>
    </w:p>
    <w:p w14:paraId="0CDDB8D7">
      <w:pPr>
        <w:pStyle w:val="56"/>
        <w:ind w:firstLine="420"/>
        <w:rPr>
          <w:rFonts w:hint="eastAsia"/>
        </w:rPr>
      </w:pPr>
      <w:r>
        <w:rPr>
          <w:rFonts w:hint="eastAsia"/>
        </w:rPr>
        <w:t>GB/T 13025.3  制盐工业通用试验方法  水分的测定</w:t>
      </w:r>
    </w:p>
    <w:p w14:paraId="3108B678">
      <w:pPr>
        <w:pStyle w:val="56"/>
        <w:ind w:firstLine="420"/>
        <w:rPr>
          <w:rFonts w:hint="eastAsia"/>
        </w:rPr>
      </w:pPr>
      <w:r>
        <w:rPr>
          <w:rFonts w:hint="eastAsia"/>
        </w:rPr>
        <w:t>GB/T 13025.4  制盐工业通用试验方法  水不溶物的测定</w:t>
      </w:r>
    </w:p>
    <w:p w14:paraId="364CF36F">
      <w:pPr>
        <w:pStyle w:val="56"/>
        <w:ind w:firstLine="420"/>
        <w:rPr>
          <w:rFonts w:hint="eastAsia"/>
        </w:rPr>
      </w:pPr>
      <w:r>
        <w:rPr>
          <w:rFonts w:hint="eastAsia"/>
        </w:rPr>
        <w:t>GB/T 13025.7  制盐工业通用试验方法  碘的测定</w:t>
      </w:r>
    </w:p>
    <w:p w14:paraId="4123BAFF">
      <w:pPr>
        <w:pStyle w:val="56"/>
        <w:ind w:firstLine="420"/>
        <w:rPr>
          <w:rFonts w:hint="eastAsia"/>
        </w:rPr>
      </w:pPr>
      <w:r>
        <w:rPr>
          <w:rFonts w:hint="eastAsia"/>
        </w:rPr>
        <w:t>GB/T 13025.8  制盐工业通用试验方法  硫酸根的测定</w:t>
      </w:r>
    </w:p>
    <w:p w14:paraId="12C9A207">
      <w:pPr>
        <w:pStyle w:val="56"/>
        <w:ind w:firstLine="420"/>
        <w:rPr>
          <w:rFonts w:hint="eastAsia"/>
        </w:rPr>
      </w:pPr>
      <w:r>
        <w:rPr>
          <w:rFonts w:hint="eastAsia"/>
        </w:rPr>
        <w:t>GB 14880  食品安全国家标准  食品营养强化剂使用标准</w:t>
      </w:r>
    </w:p>
    <w:p w14:paraId="5C59B4C4">
      <w:pPr>
        <w:pStyle w:val="56"/>
        <w:ind w:firstLine="420"/>
        <w:rPr>
          <w:rFonts w:hint="eastAsia"/>
        </w:rPr>
      </w:pPr>
      <w:r>
        <w:rPr>
          <w:rFonts w:hint="eastAsia"/>
        </w:rPr>
        <w:t>GB 14881  食品生产通用卫生规范</w:t>
      </w:r>
    </w:p>
    <w:p w14:paraId="7878B551">
      <w:pPr>
        <w:pStyle w:val="56"/>
        <w:ind w:firstLine="420"/>
        <w:rPr>
          <w:rFonts w:hint="eastAsia"/>
        </w:rPr>
      </w:pPr>
      <w:r>
        <w:rPr>
          <w:rFonts w:hint="eastAsia"/>
        </w:rPr>
        <w:t>GB/T 19420  制盐工业术语</w:t>
      </w:r>
    </w:p>
    <w:p w14:paraId="49D0D6C4">
      <w:pPr>
        <w:pStyle w:val="56"/>
        <w:ind w:firstLine="420"/>
        <w:rPr>
          <w:rFonts w:hint="eastAsia"/>
        </w:rPr>
      </w:pPr>
      <w:r>
        <w:rPr>
          <w:rFonts w:hint="eastAsia"/>
        </w:rPr>
        <w:t>GB 26878  食品安全国家标准  食用盐碘含量</w:t>
      </w:r>
    </w:p>
    <w:p w14:paraId="6BCBFE3C">
      <w:pPr>
        <w:pStyle w:val="56"/>
        <w:ind w:firstLine="420"/>
        <w:rPr>
          <w:rFonts w:hint="eastAsia"/>
        </w:rPr>
      </w:pPr>
      <w:r>
        <w:rPr>
          <w:rFonts w:hint="eastAsia"/>
        </w:rPr>
        <w:t>GB 28050  食品安全国家标准  预包装食品营养标签通则</w:t>
      </w:r>
    </w:p>
    <w:p w14:paraId="0BE52642">
      <w:pPr>
        <w:pStyle w:val="56"/>
        <w:ind w:firstLine="420"/>
        <w:rPr>
          <w:rFonts w:hint="eastAsia"/>
        </w:rPr>
      </w:pPr>
      <w:r>
        <w:rPr>
          <w:rFonts w:hint="eastAsia"/>
        </w:rPr>
        <w:t>GB/T 28118  食品包装用塑料与铝箔复合膜、袋</w:t>
      </w:r>
    </w:p>
    <w:p w14:paraId="70F95929">
      <w:pPr>
        <w:pStyle w:val="56"/>
        <w:ind w:firstLine="420"/>
        <w:rPr>
          <w:rFonts w:hint="eastAsia"/>
        </w:rPr>
      </w:pPr>
      <w:r>
        <w:rPr>
          <w:rFonts w:hint="eastAsia"/>
        </w:rPr>
        <w:t>JJF 1070  定量包装商品净含量计量检验规则</w:t>
      </w:r>
    </w:p>
    <w:p w14:paraId="47ADDD50">
      <w:pPr>
        <w:pStyle w:val="56"/>
        <w:ind w:firstLine="420"/>
      </w:pPr>
      <w:r>
        <w:rPr>
          <w:rFonts w:hint="eastAsia"/>
        </w:rPr>
        <w:t>《定量包装商品计量监督管理办法》国家市场监督管理总局〔2023〕第70号令</w:t>
      </w:r>
    </w:p>
    <w:p w14:paraId="74102BE3">
      <w:pPr>
        <w:pStyle w:val="104"/>
        <w:spacing w:before="312" w:after="312"/>
      </w:pPr>
      <w:bookmarkStart w:id="45" w:name="_Toc193819684"/>
      <w:bookmarkStart w:id="46" w:name="_Toc97191425"/>
      <w:r>
        <w:rPr>
          <w:rFonts w:hint="eastAsia"/>
          <w:szCs w:val="21"/>
        </w:rPr>
        <w:t>术语和定义</w:t>
      </w:r>
      <w:bookmarkEnd w:id="45"/>
      <w:bookmarkEnd w:id="46"/>
    </w:p>
    <w:sdt>
      <w:sdtPr>
        <w:id w:val="-1909835108"/>
        <w:placeholder>
          <w:docPart w:val="5E5F988BDBDA4E3FAC90A346C42EBA3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709DE6">
          <w:pPr>
            <w:pStyle w:val="56"/>
            <w:ind w:firstLine="420"/>
          </w:pPr>
          <w:bookmarkStart w:id="47" w:name="_Toc26986532"/>
          <w:bookmarkEnd w:id="47"/>
          <w:r>
            <w:t>GB/T 19420界定的以及下列术语和定义适用于本文件。</w:t>
          </w:r>
        </w:p>
      </w:sdtContent>
    </w:sdt>
    <w:p w14:paraId="6F04E2EB">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茶卡盐</w:t>
      </w:r>
    </w:p>
    <w:p w14:paraId="29824E5A">
      <w:pPr>
        <w:pStyle w:val="56"/>
        <w:ind w:firstLine="420"/>
        <w:rPr>
          <w:rFonts w:hint="eastAsia"/>
        </w:rPr>
      </w:pPr>
      <w:r>
        <w:rPr>
          <w:rFonts w:hint="eastAsia"/>
        </w:rPr>
        <w:t>茶卡盐是以茶卡盐湖、柯柯盐湖原生盐或日晒盐为原料，并在本地区按照粉碎洗涤工艺生产和加工的食用盐产品。</w:t>
      </w:r>
    </w:p>
    <w:p w14:paraId="0704ABA4">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原生盐</w:t>
      </w:r>
    </w:p>
    <w:p w14:paraId="593956FE">
      <w:pPr>
        <w:pStyle w:val="56"/>
        <w:ind w:firstLine="420"/>
        <w:rPr>
          <w:rFonts w:hint="eastAsia"/>
        </w:rPr>
      </w:pPr>
      <w:r>
        <w:rPr>
          <w:rFonts w:hint="eastAsia"/>
        </w:rPr>
        <w:t>由茶卡盐湖、柯柯盐湖中盐湖矿床形成过程中生产的盐。</w:t>
      </w:r>
    </w:p>
    <w:p w14:paraId="07CB32C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日晒盐</w:t>
      </w:r>
    </w:p>
    <w:p w14:paraId="1966DFD8">
      <w:pPr>
        <w:pStyle w:val="56"/>
        <w:ind w:firstLine="420"/>
        <w:rPr>
          <w:rFonts w:hint="eastAsia"/>
        </w:rPr>
      </w:pPr>
      <w:r>
        <w:rPr>
          <w:rFonts w:hint="eastAsia"/>
        </w:rPr>
        <w:t>以茶卡盐湖、柯柯盐湖卤水日晒制得的盐。</w:t>
      </w:r>
    </w:p>
    <w:p w14:paraId="1AA6311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淋卤期</w:t>
      </w:r>
    </w:p>
    <w:p w14:paraId="74B728F5">
      <w:pPr>
        <w:pStyle w:val="56"/>
        <w:ind w:firstLine="420"/>
        <w:rPr>
          <w:rFonts w:hint="eastAsia"/>
        </w:rPr>
      </w:pPr>
      <w:r>
        <w:rPr>
          <w:rFonts w:hint="eastAsia"/>
        </w:rPr>
        <w:t>原生盐或日晒盐在坨地堆积成坨，利用日晒、风吹等自然方式降低部分晶体表面杂质和水分的过程。淋卤期一般为3至6个月。</w:t>
      </w:r>
    </w:p>
    <w:p w14:paraId="31AB2FC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坨地</w:t>
      </w:r>
    </w:p>
    <w:p w14:paraId="1A6652E7">
      <w:pPr>
        <w:pStyle w:val="56"/>
        <w:ind w:firstLine="420"/>
      </w:pPr>
      <w:r>
        <w:rPr>
          <w:rFonts w:hint="eastAsia"/>
        </w:rPr>
        <w:t>存放原生盐或日晒盐的露天场地。</w:t>
      </w:r>
    </w:p>
    <w:p w14:paraId="1BEE9BF8">
      <w:pPr>
        <w:pStyle w:val="104"/>
        <w:spacing w:before="312" w:after="312"/>
        <w:rPr>
          <w:rFonts w:hint="eastAsia"/>
        </w:rPr>
      </w:pPr>
      <w:bookmarkStart w:id="48" w:name="_Toc193819685"/>
      <w:r>
        <w:rPr>
          <w:rFonts w:hint="eastAsia"/>
        </w:rPr>
        <w:t>要求</w:t>
      </w:r>
      <w:bookmarkEnd w:id="48"/>
    </w:p>
    <w:p w14:paraId="2BE23BC8">
      <w:pPr>
        <w:pStyle w:val="105"/>
        <w:spacing w:before="156" w:after="156"/>
        <w:rPr>
          <w:rFonts w:hint="eastAsia"/>
        </w:rPr>
      </w:pPr>
      <w:r>
        <w:rPr>
          <w:rFonts w:hint="eastAsia"/>
        </w:rPr>
        <w:t>自然环境</w:t>
      </w:r>
    </w:p>
    <w:p w14:paraId="211C3476">
      <w:pPr>
        <w:pStyle w:val="165"/>
        <w:rPr>
          <w:rFonts w:hint="eastAsia"/>
        </w:rPr>
      </w:pPr>
      <w:r>
        <w:rPr>
          <w:rFonts w:hint="eastAsia"/>
        </w:rPr>
        <w:t>产地远离工矿区、生活污染以及交通干线，生态环境良好。</w:t>
      </w:r>
    </w:p>
    <w:p w14:paraId="52154D4F">
      <w:pPr>
        <w:pStyle w:val="165"/>
        <w:rPr>
          <w:rFonts w:hint="eastAsia"/>
        </w:rPr>
      </w:pPr>
      <w:r>
        <w:rPr>
          <w:rFonts w:hint="eastAsia"/>
        </w:rPr>
        <w:t xml:space="preserve">产地周围5 km内主导风向20 km以内无工矿企业污染源。 </w:t>
      </w:r>
    </w:p>
    <w:p w14:paraId="1643C39E">
      <w:pPr>
        <w:pStyle w:val="165"/>
        <w:rPr>
          <w:rFonts w:hint="eastAsia"/>
        </w:rPr>
      </w:pPr>
      <w:r>
        <w:rPr>
          <w:rFonts w:hint="eastAsia"/>
        </w:rPr>
        <w:t>有确定的原料盐采区、坨地和完善的环境卫生管理措施。</w:t>
      </w:r>
    </w:p>
    <w:p w14:paraId="40B437CD">
      <w:pPr>
        <w:pStyle w:val="165"/>
        <w:rPr>
          <w:rFonts w:hint="eastAsia"/>
        </w:rPr>
      </w:pPr>
      <w:r>
        <w:rPr>
          <w:rFonts w:hint="eastAsia"/>
        </w:rPr>
        <w:t>采区和坨地周围3 km范围内无生活垃圾、工业固体废物填埋场。</w:t>
      </w:r>
    </w:p>
    <w:p w14:paraId="5CCD7E2D">
      <w:pPr>
        <w:pStyle w:val="165"/>
        <w:rPr>
          <w:rFonts w:hint="eastAsia"/>
        </w:rPr>
      </w:pPr>
      <w:r>
        <w:rPr>
          <w:rFonts w:hint="eastAsia"/>
        </w:rPr>
        <w:t>淡水补充来源于湖内地下泉水和周围高山融化的雪水。</w:t>
      </w:r>
    </w:p>
    <w:p w14:paraId="526E61DB">
      <w:pPr>
        <w:pStyle w:val="105"/>
        <w:spacing w:before="156" w:after="156"/>
        <w:rPr>
          <w:rFonts w:hint="eastAsia"/>
        </w:rPr>
      </w:pPr>
      <w:r>
        <w:rPr>
          <w:rFonts w:hint="eastAsia"/>
        </w:rPr>
        <w:t>原料</w:t>
      </w:r>
    </w:p>
    <w:p w14:paraId="6FAD02C5">
      <w:pPr>
        <w:pStyle w:val="56"/>
        <w:ind w:firstLine="420"/>
        <w:rPr>
          <w:rFonts w:hint="eastAsia"/>
        </w:rPr>
      </w:pPr>
      <w:r>
        <w:rPr>
          <w:rFonts w:hint="eastAsia"/>
        </w:rPr>
        <w:t>茶卡盐原料使用满淋卤期的原生盐或日晒盐，洗涤使用卤水。</w:t>
      </w:r>
    </w:p>
    <w:p w14:paraId="5B503534">
      <w:pPr>
        <w:pStyle w:val="65"/>
        <w:spacing w:before="156" w:after="156"/>
        <w:rPr>
          <w:rFonts w:hint="eastAsia"/>
        </w:rPr>
      </w:pPr>
      <w:r>
        <w:rPr>
          <w:rFonts w:hint="eastAsia"/>
        </w:rPr>
        <w:t>原生盐</w:t>
      </w:r>
    </w:p>
    <w:p w14:paraId="2F15ECA0">
      <w:pPr>
        <w:pStyle w:val="56"/>
        <w:ind w:firstLine="420"/>
        <w:rPr>
          <w:rFonts w:hint="eastAsia"/>
        </w:rPr>
      </w:pPr>
      <w:r>
        <w:rPr>
          <w:rFonts w:hint="eastAsia"/>
        </w:rPr>
        <w:t>氯化钠含量≥96.0 %、水不溶物≤0.20 %、硫酸根≤0.30 %。</w:t>
      </w:r>
    </w:p>
    <w:p w14:paraId="77237CB4">
      <w:pPr>
        <w:pStyle w:val="65"/>
        <w:spacing w:before="156" w:after="156"/>
        <w:rPr>
          <w:rFonts w:hint="eastAsia"/>
        </w:rPr>
      </w:pPr>
      <w:r>
        <w:rPr>
          <w:rFonts w:hint="eastAsia"/>
        </w:rPr>
        <w:t>日晒盐</w:t>
      </w:r>
    </w:p>
    <w:p w14:paraId="277409A4">
      <w:pPr>
        <w:pStyle w:val="56"/>
        <w:ind w:firstLine="420"/>
        <w:rPr>
          <w:rFonts w:hint="eastAsia"/>
        </w:rPr>
      </w:pPr>
      <w:r>
        <w:rPr>
          <w:rFonts w:hint="eastAsia"/>
        </w:rPr>
        <w:t>氯化钠含量≥95.0 %、水不溶物≤0.15 %、硫酸根≤0.30 %。</w:t>
      </w:r>
    </w:p>
    <w:p w14:paraId="29A2A2FC">
      <w:pPr>
        <w:pStyle w:val="105"/>
        <w:spacing w:before="156" w:after="156"/>
        <w:rPr>
          <w:rFonts w:hint="eastAsia"/>
        </w:rPr>
      </w:pPr>
      <w:r>
        <w:rPr>
          <w:rFonts w:hint="eastAsia"/>
        </w:rPr>
        <w:t>工艺</w:t>
      </w:r>
    </w:p>
    <w:p w14:paraId="5F535F2F">
      <w:pPr>
        <w:pStyle w:val="56"/>
        <w:ind w:firstLine="420"/>
        <w:rPr>
          <w:rFonts w:hint="eastAsia"/>
        </w:rPr>
      </w:pPr>
      <w:r>
        <w:rPr>
          <w:rFonts w:hint="eastAsia"/>
        </w:rPr>
        <w:t>原料采掘→岸上集坨→筛分→三破三洗</w:t>
      </w:r>
      <w:r>
        <w:rPr>
          <w:rFonts w:hint="eastAsia"/>
          <w:lang w:eastAsia="zh-CN"/>
        </w:rPr>
        <w:t>〔</w:t>
      </w:r>
      <w:r>
        <w:rPr>
          <w:rFonts w:hint="eastAsia"/>
        </w:rPr>
        <w:t>洗涤卤水浓度为20～24波美度</w:t>
      </w:r>
      <w:r>
        <w:rPr>
          <w:rFonts w:hint="eastAsia"/>
          <w:lang w:eastAsia="zh-CN"/>
        </w:rPr>
        <w:t>（</w:t>
      </w:r>
      <w:r>
        <w:rPr>
          <w:rFonts w:hint="eastAsia"/>
        </w:rPr>
        <w:t>°Bé）</w:t>
      </w:r>
      <w:r>
        <w:rPr>
          <w:rFonts w:hint="eastAsia"/>
          <w:lang w:eastAsia="zh-CN"/>
        </w:rPr>
        <w:t>〕</w:t>
      </w:r>
      <w:r>
        <w:rPr>
          <w:rFonts w:hint="eastAsia"/>
        </w:rPr>
        <w:t>→脱水烘干→筛分色选→不加碘/加碘→计量包装</w:t>
      </w:r>
    </w:p>
    <w:p w14:paraId="1C776C69">
      <w:pPr>
        <w:pStyle w:val="65"/>
        <w:spacing w:before="156" w:after="156"/>
        <w:rPr>
          <w:rFonts w:hint="eastAsia"/>
        </w:rPr>
      </w:pPr>
      <w:r>
        <w:rPr>
          <w:rFonts w:hint="eastAsia"/>
        </w:rPr>
        <w:t>原生盐为原料</w:t>
      </w:r>
    </w:p>
    <w:p w14:paraId="2C86C5EC">
      <w:pPr>
        <w:pStyle w:val="56"/>
        <w:ind w:firstLine="420"/>
        <w:rPr>
          <w:rFonts w:hint="eastAsia"/>
        </w:rPr>
      </w:pPr>
      <w:r>
        <w:rPr>
          <w:rFonts w:hint="eastAsia"/>
        </w:rPr>
        <w:t>满淋卤期的原生盐筛分后进行破碎洗涤、离心脱水、烘干、筛分色选、加碘/不加碘、包装。</w:t>
      </w:r>
    </w:p>
    <w:p w14:paraId="4963B70A">
      <w:pPr>
        <w:pStyle w:val="65"/>
        <w:spacing w:before="156" w:after="156"/>
        <w:rPr>
          <w:rFonts w:hint="eastAsia"/>
        </w:rPr>
      </w:pPr>
      <w:r>
        <w:rPr>
          <w:rFonts w:hint="eastAsia"/>
        </w:rPr>
        <w:t>日晒盐为原料</w:t>
      </w:r>
    </w:p>
    <w:p w14:paraId="1171DF57">
      <w:pPr>
        <w:pStyle w:val="56"/>
        <w:ind w:firstLine="420"/>
        <w:rPr>
          <w:rFonts w:hint="eastAsia"/>
        </w:rPr>
      </w:pPr>
      <w:r>
        <w:rPr>
          <w:rFonts w:hint="eastAsia"/>
        </w:rPr>
        <w:t xml:space="preserve">日晒盐采掘堆放满淋卤期后，破碎洗涤、离心脱水、烘干、筛分、加碘/不加碘、包装。 </w:t>
      </w:r>
    </w:p>
    <w:p w14:paraId="5891C4E0">
      <w:pPr>
        <w:pStyle w:val="105"/>
        <w:spacing w:before="156" w:after="156"/>
        <w:rPr>
          <w:rFonts w:hint="eastAsia"/>
        </w:rPr>
      </w:pPr>
      <w:r>
        <w:rPr>
          <w:rFonts w:hint="eastAsia"/>
        </w:rPr>
        <w:t>感官要求</w:t>
      </w:r>
    </w:p>
    <w:p w14:paraId="6B3AAF06">
      <w:pPr>
        <w:pStyle w:val="56"/>
        <w:ind w:firstLine="420"/>
        <w:rPr>
          <w:rFonts w:hint="eastAsia"/>
        </w:rPr>
      </w:pPr>
      <w:r>
        <w:rPr>
          <w:rFonts w:hint="eastAsia"/>
        </w:rPr>
        <w:t>感官要求应符合表1的规定。</w:t>
      </w:r>
    </w:p>
    <w:p w14:paraId="6287334B">
      <w:pPr>
        <w:pStyle w:val="112"/>
        <w:spacing w:before="156" w:after="156"/>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243"/>
        <w:gridCol w:w="1276"/>
        <w:gridCol w:w="2551"/>
        <w:gridCol w:w="2398"/>
      </w:tblGrid>
      <w:tr w14:paraId="34DF3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restart"/>
            <w:tcBorders>
              <w:top w:val="single" w:color="auto" w:sz="8" w:space="0"/>
            </w:tcBorders>
            <w:shd w:val="clear" w:color="auto" w:fill="auto"/>
            <w:vAlign w:val="center"/>
          </w:tcPr>
          <w:p w14:paraId="77F418B5">
            <w:pPr>
              <w:pStyle w:val="178"/>
            </w:pPr>
            <w:r>
              <w:rPr>
                <w:rFonts w:hint="eastAsia"/>
              </w:rPr>
              <w:t>项目</w:t>
            </w:r>
          </w:p>
        </w:tc>
        <w:tc>
          <w:tcPr>
            <w:tcW w:w="5070" w:type="dxa"/>
            <w:gridSpan w:val="3"/>
            <w:tcBorders>
              <w:top w:val="single" w:color="auto" w:sz="8" w:space="0"/>
              <w:bottom w:val="single" w:color="auto" w:sz="4" w:space="0"/>
            </w:tcBorders>
            <w:shd w:val="clear" w:color="auto" w:fill="auto"/>
            <w:vAlign w:val="center"/>
          </w:tcPr>
          <w:p w14:paraId="0BE6E415">
            <w:pPr>
              <w:pStyle w:val="178"/>
            </w:pPr>
            <w:r>
              <w:rPr>
                <w:rFonts w:hint="eastAsia"/>
              </w:rPr>
              <w:t>要求</w:t>
            </w:r>
          </w:p>
        </w:tc>
        <w:tc>
          <w:tcPr>
            <w:tcW w:w="2398" w:type="dxa"/>
            <w:vMerge w:val="restart"/>
            <w:tcBorders>
              <w:top w:val="single" w:color="auto" w:sz="8" w:space="0"/>
            </w:tcBorders>
            <w:shd w:val="clear" w:color="auto" w:fill="auto"/>
            <w:vAlign w:val="center"/>
          </w:tcPr>
          <w:p w14:paraId="33C8AE9B">
            <w:pPr>
              <w:pStyle w:val="178"/>
            </w:pPr>
            <w:r>
              <w:rPr>
                <w:rFonts w:hint="eastAsia"/>
              </w:rPr>
              <w:t>检验方法</w:t>
            </w:r>
          </w:p>
        </w:tc>
      </w:tr>
      <w:tr w14:paraId="716C0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continue"/>
            <w:tcBorders>
              <w:bottom w:val="single" w:color="auto" w:sz="8" w:space="0"/>
            </w:tcBorders>
            <w:shd w:val="clear" w:color="auto" w:fill="auto"/>
            <w:vAlign w:val="center"/>
          </w:tcPr>
          <w:p w14:paraId="365F6409">
            <w:pPr>
              <w:pStyle w:val="178"/>
            </w:pPr>
          </w:p>
        </w:tc>
        <w:tc>
          <w:tcPr>
            <w:tcW w:w="1243" w:type="dxa"/>
            <w:tcBorders>
              <w:top w:val="single" w:color="auto" w:sz="4" w:space="0"/>
              <w:bottom w:val="single" w:color="auto" w:sz="8" w:space="0"/>
            </w:tcBorders>
            <w:shd w:val="clear" w:color="auto" w:fill="auto"/>
            <w:vAlign w:val="center"/>
          </w:tcPr>
          <w:p w14:paraId="048D7774">
            <w:pPr>
              <w:pStyle w:val="178"/>
            </w:pPr>
            <w:r>
              <w:rPr>
                <w:rFonts w:hint="eastAsia"/>
              </w:rPr>
              <w:t>日晒盐</w:t>
            </w:r>
          </w:p>
        </w:tc>
        <w:tc>
          <w:tcPr>
            <w:tcW w:w="1276" w:type="dxa"/>
            <w:tcBorders>
              <w:top w:val="single" w:color="auto" w:sz="4" w:space="0"/>
              <w:bottom w:val="single" w:color="auto" w:sz="8" w:space="0"/>
            </w:tcBorders>
            <w:shd w:val="clear" w:color="auto" w:fill="auto"/>
            <w:vAlign w:val="center"/>
          </w:tcPr>
          <w:p w14:paraId="422C49DF">
            <w:pPr>
              <w:pStyle w:val="178"/>
            </w:pPr>
            <w:r>
              <w:rPr>
                <w:rFonts w:hint="eastAsia"/>
              </w:rPr>
              <w:t>低钠盐</w:t>
            </w:r>
          </w:p>
        </w:tc>
        <w:tc>
          <w:tcPr>
            <w:tcW w:w="2551" w:type="dxa"/>
            <w:tcBorders>
              <w:top w:val="single" w:color="auto" w:sz="4" w:space="0"/>
              <w:bottom w:val="single" w:color="auto" w:sz="8" w:space="0"/>
            </w:tcBorders>
            <w:shd w:val="clear" w:color="auto" w:fill="auto"/>
            <w:vAlign w:val="center"/>
          </w:tcPr>
          <w:p w14:paraId="381ADAB6">
            <w:pPr>
              <w:pStyle w:val="178"/>
            </w:pPr>
            <w:r>
              <w:rPr>
                <w:rFonts w:hint="eastAsia"/>
              </w:rPr>
              <w:t>原生盐</w:t>
            </w:r>
          </w:p>
        </w:tc>
        <w:tc>
          <w:tcPr>
            <w:tcW w:w="2398" w:type="dxa"/>
            <w:vMerge w:val="continue"/>
            <w:tcBorders>
              <w:bottom w:val="single" w:color="auto" w:sz="8" w:space="0"/>
            </w:tcBorders>
            <w:shd w:val="clear" w:color="auto" w:fill="auto"/>
            <w:vAlign w:val="center"/>
          </w:tcPr>
          <w:p w14:paraId="794544C4">
            <w:pPr>
              <w:pStyle w:val="178"/>
            </w:pPr>
          </w:p>
        </w:tc>
      </w:tr>
      <w:tr w14:paraId="448B3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71D6ABE2">
            <w:pPr>
              <w:pStyle w:val="178"/>
            </w:pPr>
            <w:r>
              <w:rPr>
                <w:rFonts w:hint="eastAsia"/>
              </w:rPr>
              <w:t>状态</w:t>
            </w:r>
          </w:p>
        </w:tc>
        <w:tc>
          <w:tcPr>
            <w:tcW w:w="2519" w:type="dxa"/>
            <w:gridSpan w:val="2"/>
            <w:tcBorders>
              <w:top w:val="single" w:color="auto" w:sz="8" w:space="0"/>
            </w:tcBorders>
            <w:shd w:val="clear" w:color="auto" w:fill="auto"/>
            <w:vAlign w:val="center"/>
          </w:tcPr>
          <w:p w14:paraId="6240521E">
            <w:pPr>
              <w:pStyle w:val="178"/>
            </w:pPr>
            <w:r>
              <w:rPr>
                <w:rFonts w:hint="eastAsia"/>
              </w:rPr>
              <w:t>结晶体，无正常视力可见外来异物</w:t>
            </w:r>
          </w:p>
        </w:tc>
        <w:tc>
          <w:tcPr>
            <w:tcW w:w="2551" w:type="dxa"/>
            <w:tcBorders>
              <w:top w:val="single" w:color="auto" w:sz="8" w:space="0"/>
            </w:tcBorders>
            <w:shd w:val="clear" w:color="auto" w:fill="auto"/>
            <w:vAlign w:val="center"/>
          </w:tcPr>
          <w:p w14:paraId="589B4521">
            <w:pPr>
              <w:pStyle w:val="178"/>
            </w:pPr>
            <w:r>
              <w:rPr>
                <w:rFonts w:hint="eastAsia"/>
              </w:rPr>
              <w:t>结晶体，无正常视力可见外来异物（允许含有微量黑色包裹体）</w:t>
            </w:r>
          </w:p>
        </w:tc>
        <w:tc>
          <w:tcPr>
            <w:tcW w:w="2398" w:type="dxa"/>
            <w:vMerge w:val="restart"/>
            <w:tcBorders>
              <w:top w:val="single" w:color="auto" w:sz="8" w:space="0"/>
            </w:tcBorders>
            <w:shd w:val="clear" w:color="auto" w:fill="auto"/>
            <w:vAlign w:val="center"/>
          </w:tcPr>
          <w:p w14:paraId="57B7E2F8">
            <w:pPr>
              <w:pStyle w:val="178"/>
              <w:jc w:val="left"/>
            </w:pPr>
            <w:r>
              <w:rPr>
                <w:rFonts w:hint="eastAsia"/>
              </w:rPr>
              <w:t>取适量样品放在白色洁净瓷盘内，在自然光下观察其色泽和组织状态，并嗅其气味。用温开水漱口，品尝滋味。</w:t>
            </w:r>
          </w:p>
        </w:tc>
      </w:tr>
      <w:tr w14:paraId="32301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BF35E5D">
            <w:pPr>
              <w:pStyle w:val="178"/>
            </w:pPr>
            <w:r>
              <w:rPr>
                <w:rFonts w:hint="eastAsia"/>
              </w:rPr>
              <w:t>色泽</w:t>
            </w:r>
          </w:p>
        </w:tc>
        <w:tc>
          <w:tcPr>
            <w:tcW w:w="2519" w:type="dxa"/>
            <w:gridSpan w:val="2"/>
            <w:shd w:val="clear" w:color="auto" w:fill="auto"/>
            <w:vAlign w:val="center"/>
          </w:tcPr>
          <w:p w14:paraId="3B4DE009">
            <w:pPr>
              <w:pStyle w:val="178"/>
            </w:pPr>
            <w:r>
              <w:rPr>
                <w:rFonts w:hint="eastAsia"/>
              </w:rPr>
              <w:t>白色</w:t>
            </w:r>
          </w:p>
        </w:tc>
        <w:tc>
          <w:tcPr>
            <w:tcW w:w="2551" w:type="dxa"/>
            <w:shd w:val="clear" w:color="auto" w:fill="auto"/>
            <w:vAlign w:val="center"/>
          </w:tcPr>
          <w:p w14:paraId="35988399">
            <w:pPr>
              <w:pStyle w:val="178"/>
            </w:pPr>
            <w:r>
              <w:rPr>
                <w:rFonts w:hint="eastAsia"/>
              </w:rPr>
              <w:t>白色或青色</w:t>
            </w:r>
          </w:p>
        </w:tc>
        <w:tc>
          <w:tcPr>
            <w:tcW w:w="2398" w:type="dxa"/>
            <w:vMerge w:val="continue"/>
            <w:shd w:val="clear" w:color="auto" w:fill="auto"/>
            <w:vAlign w:val="center"/>
          </w:tcPr>
          <w:p w14:paraId="36FD659D">
            <w:pPr>
              <w:pStyle w:val="178"/>
            </w:pPr>
          </w:p>
        </w:tc>
      </w:tr>
      <w:tr w14:paraId="23038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A75212C">
            <w:pPr>
              <w:pStyle w:val="178"/>
            </w:pPr>
            <w:r>
              <w:rPr>
                <w:rFonts w:hint="eastAsia"/>
              </w:rPr>
              <w:t>滋味、气味</w:t>
            </w:r>
          </w:p>
        </w:tc>
        <w:tc>
          <w:tcPr>
            <w:tcW w:w="5070" w:type="dxa"/>
            <w:gridSpan w:val="3"/>
            <w:shd w:val="clear" w:color="auto" w:fill="auto"/>
            <w:vAlign w:val="center"/>
          </w:tcPr>
          <w:p w14:paraId="1704C616">
            <w:pPr>
              <w:pStyle w:val="178"/>
            </w:pPr>
            <w:r>
              <w:rPr>
                <w:rFonts w:hint="eastAsia"/>
              </w:rPr>
              <w:t>味咸、无异味</w:t>
            </w:r>
          </w:p>
        </w:tc>
        <w:tc>
          <w:tcPr>
            <w:tcW w:w="2398" w:type="dxa"/>
            <w:vMerge w:val="continue"/>
            <w:shd w:val="clear" w:color="auto" w:fill="auto"/>
            <w:vAlign w:val="center"/>
          </w:tcPr>
          <w:p w14:paraId="2D2FEF7E">
            <w:pPr>
              <w:pStyle w:val="178"/>
            </w:pPr>
          </w:p>
        </w:tc>
      </w:tr>
    </w:tbl>
    <w:p w14:paraId="4D98A051">
      <w:pPr>
        <w:pStyle w:val="105"/>
        <w:spacing w:before="156" w:after="156"/>
        <w:rPr>
          <w:rFonts w:hint="eastAsia"/>
        </w:rPr>
      </w:pPr>
      <w:r>
        <w:rPr>
          <w:rFonts w:hint="eastAsia"/>
        </w:rPr>
        <w:t>理化指标</w:t>
      </w:r>
    </w:p>
    <w:p w14:paraId="734B267A">
      <w:pPr>
        <w:pStyle w:val="56"/>
        <w:ind w:firstLine="420"/>
        <w:rPr>
          <w:rFonts w:hint="eastAsia"/>
        </w:rPr>
      </w:pPr>
      <w:r>
        <w:rPr>
          <w:rFonts w:hint="eastAsia"/>
        </w:rPr>
        <w:t>理化指标应符合表2的规定。</w:t>
      </w:r>
    </w:p>
    <w:p w14:paraId="77C7BA1B">
      <w:pPr>
        <w:pStyle w:val="112"/>
        <w:spacing w:before="156" w:after="156"/>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1689"/>
        <w:gridCol w:w="1689"/>
        <w:gridCol w:w="1689"/>
        <w:gridCol w:w="1867"/>
      </w:tblGrid>
      <w:tr w14:paraId="333B9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vMerge w:val="restart"/>
            <w:tcBorders>
              <w:top w:val="single" w:color="auto" w:sz="8" w:space="0"/>
            </w:tcBorders>
            <w:shd w:val="clear" w:color="auto" w:fill="auto"/>
            <w:vAlign w:val="center"/>
          </w:tcPr>
          <w:p w14:paraId="1AB4907E">
            <w:pPr>
              <w:pStyle w:val="178"/>
            </w:pPr>
            <w:r>
              <w:rPr>
                <w:rFonts w:hint="eastAsia"/>
              </w:rPr>
              <w:t>项目</w:t>
            </w:r>
          </w:p>
        </w:tc>
        <w:tc>
          <w:tcPr>
            <w:tcW w:w="5067" w:type="dxa"/>
            <w:gridSpan w:val="3"/>
            <w:tcBorders>
              <w:top w:val="single" w:color="auto" w:sz="8" w:space="0"/>
              <w:bottom w:val="single" w:color="auto" w:sz="4" w:space="0"/>
            </w:tcBorders>
            <w:shd w:val="clear" w:color="auto" w:fill="auto"/>
            <w:vAlign w:val="center"/>
          </w:tcPr>
          <w:p w14:paraId="00CBA6E1">
            <w:pPr>
              <w:pStyle w:val="178"/>
            </w:pPr>
            <w:r>
              <w:rPr>
                <w:rFonts w:hint="eastAsia"/>
              </w:rPr>
              <w:t>指标</w:t>
            </w:r>
          </w:p>
        </w:tc>
        <w:tc>
          <w:tcPr>
            <w:tcW w:w="1867" w:type="dxa"/>
            <w:vMerge w:val="restart"/>
            <w:tcBorders>
              <w:top w:val="single" w:color="auto" w:sz="8" w:space="0"/>
            </w:tcBorders>
            <w:shd w:val="clear" w:color="auto" w:fill="auto"/>
            <w:vAlign w:val="center"/>
          </w:tcPr>
          <w:p w14:paraId="1FCDBF96">
            <w:pPr>
              <w:pStyle w:val="178"/>
            </w:pPr>
            <w:r>
              <w:rPr>
                <w:rFonts w:hint="eastAsia"/>
              </w:rPr>
              <w:t>检验方法</w:t>
            </w:r>
          </w:p>
        </w:tc>
      </w:tr>
      <w:tr w14:paraId="037E5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vMerge w:val="continue"/>
            <w:tcBorders>
              <w:bottom w:val="single" w:color="auto" w:sz="8" w:space="0"/>
            </w:tcBorders>
            <w:shd w:val="clear" w:color="auto" w:fill="auto"/>
            <w:vAlign w:val="center"/>
          </w:tcPr>
          <w:p w14:paraId="542029DE">
            <w:pPr>
              <w:pStyle w:val="178"/>
              <w:rPr>
                <w:rFonts w:hint="eastAsia"/>
              </w:rPr>
            </w:pPr>
          </w:p>
        </w:tc>
        <w:tc>
          <w:tcPr>
            <w:tcW w:w="1689" w:type="dxa"/>
            <w:tcBorders>
              <w:top w:val="single" w:color="auto" w:sz="4" w:space="0"/>
              <w:bottom w:val="single" w:color="auto" w:sz="8" w:space="0"/>
            </w:tcBorders>
            <w:shd w:val="clear" w:color="auto" w:fill="auto"/>
            <w:vAlign w:val="center"/>
          </w:tcPr>
          <w:p w14:paraId="70F31C49">
            <w:pPr>
              <w:pStyle w:val="178"/>
            </w:pPr>
            <w:r>
              <w:rPr>
                <w:rFonts w:hint="eastAsia"/>
              </w:rPr>
              <w:t>日晒盐</w:t>
            </w:r>
          </w:p>
        </w:tc>
        <w:tc>
          <w:tcPr>
            <w:tcW w:w="1689" w:type="dxa"/>
            <w:tcBorders>
              <w:top w:val="single" w:color="auto" w:sz="4" w:space="0"/>
              <w:bottom w:val="single" w:color="auto" w:sz="8" w:space="0"/>
            </w:tcBorders>
            <w:shd w:val="clear" w:color="auto" w:fill="auto"/>
            <w:vAlign w:val="center"/>
          </w:tcPr>
          <w:p w14:paraId="39911947">
            <w:pPr>
              <w:pStyle w:val="178"/>
            </w:pPr>
            <w:r>
              <w:rPr>
                <w:rFonts w:hint="eastAsia"/>
              </w:rPr>
              <w:t>低钠盐</w:t>
            </w:r>
          </w:p>
        </w:tc>
        <w:tc>
          <w:tcPr>
            <w:tcW w:w="1689" w:type="dxa"/>
            <w:tcBorders>
              <w:top w:val="single" w:color="auto" w:sz="4" w:space="0"/>
              <w:bottom w:val="single" w:color="auto" w:sz="8" w:space="0"/>
            </w:tcBorders>
            <w:shd w:val="clear" w:color="auto" w:fill="auto"/>
            <w:vAlign w:val="center"/>
          </w:tcPr>
          <w:p w14:paraId="0E837CE8">
            <w:pPr>
              <w:pStyle w:val="178"/>
            </w:pPr>
            <w:r>
              <w:rPr>
                <w:rFonts w:hint="eastAsia"/>
              </w:rPr>
              <w:t>原生盐</w:t>
            </w:r>
          </w:p>
        </w:tc>
        <w:tc>
          <w:tcPr>
            <w:tcW w:w="1867" w:type="dxa"/>
            <w:vMerge w:val="continue"/>
            <w:tcBorders>
              <w:bottom w:val="single" w:color="auto" w:sz="8" w:space="0"/>
            </w:tcBorders>
            <w:shd w:val="clear" w:color="auto" w:fill="auto"/>
            <w:vAlign w:val="center"/>
          </w:tcPr>
          <w:p w14:paraId="655B8807">
            <w:pPr>
              <w:pStyle w:val="178"/>
            </w:pPr>
          </w:p>
        </w:tc>
      </w:tr>
      <w:tr w14:paraId="31FDE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vAlign w:val="center"/>
          </w:tcPr>
          <w:p w14:paraId="1082C845">
            <w:pPr>
              <w:pStyle w:val="178"/>
            </w:pPr>
            <w:r>
              <w:rPr>
                <w:rFonts w:hint="eastAsia"/>
              </w:rPr>
              <w:t>粒度</w:t>
            </w:r>
          </w:p>
        </w:tc>
        <w:tc>
          <w:tcPr>
            <w:tcW w:w="5067" w:type="dxa"/>
            <w:gridSpan w:val="3"/>
            <w:tcBorders>
              <w:top w:val="single" w:color="auto" w:sz="8" w:space="0"/>
            </w:tcBorders>
            <w:shd w:val="clear" w:color="auto" w:fill="auto"/>
            <w:vAlign w:val="center"/>
          </w:tcPr>
          <w:p w14:paraId="135D2329">
            <w:pPr>
              <w:pStyle w:val="178"/>
              <w:jc w:val="both"/>
              <w:rPr>
                <w:rFonts w:hint="eastAsia"/>
              </w:rPr>
            </w:pPr>
            <w:r>
              <w:rPr>
                <w:rFonts w:hint="eastAsia"/>
              </w:rPr>
              <w:t>在下列某一范围内应不少于75 g/100g:</w:t>
            </w:r>
          </w:p>
          <w:p w14:paraId="771A9A9B">
            <w:pPr>
              <w:pStyle w:val="178"/>
              <w:jc w:val="both"/>
              <w:rPr>
                <w:rFonts w:hint="eastAsia"/>
              </w:rPr>
            </w:pPr>
            <w:r>
              <w:rPr>
                <w:rFonts w:hint="eastAsia"/>
              </w:rPr>
              <w:t>--大粒2.0 mm-8.0 mm</w:t>
            </w:r>
          </w:p>
          <w:p w14:paraId="52AA2DC9">
            <w:pPr>
              <w:pStyle w:val="178"/>
              <w:jc w:val="both"/>
              <w:rPr>
                <w:rFonts w:hint="eastAsia"/>
              </w:rPr>
            </w:pPr>
            <w:r>
              <w:rPr>
                <w:rFonts w:hint="eastAsia"/>
              </w:rPr>
              <w:t>--中粒0.3 mm-2.5 mm</w:t>
            </w:r>
          </w:p>
          <w:p w14:paraId="016D1F19">
            <w:pPr>
              <w:pStyle w:val="178"/>
              <w:jc w:val="both"/>
            </w:pPr>
            <w:r>
              <w:rPr>
                <w:rFonts w:hint="eastAsia"/>
              </w:rPr>
              <w:t>--小粒0.15 mm-0.85 mm</w:t>
            </w:r>
          </w:p>
        </w:tc>
        <w:tc>
          <w:tcPr>
            <w:tcW w:w="1867" w:type="dxa"/>
            <w:tcBorders>
              <w:top w:val="single" w:color="auto" w:sz="8" w:space="0"/>
            </w:tcBorders>
            <w:shd w:val="clear" w:color="auto" w:fill="auto"/>
            <w:vAlign w:val="center"/>
          </w:tcPr>
          <w:p w14:paraId="524EBEE3">
            <w:pPr>
              <w:pStyle w:val="178"/>
            </w:pPr>
            <w:r>
              <w:t>GB/T 13025.1</w:t>
            </w:r>
          </w:p>
        </w:tc>
      </w:tr>
      <w:tr w14:paraId="43F58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739B380A">
            <w:pPr>
              <w:pStyle w:val="178"/>
            </w:pPr>
            <w:r>
              <w:rPr>
                <w:rFonts w:hint="eastAsia"/>
              </w:rPr>
              <w:t>白度，度</w:t>
            </w:r>
          </w:p>
        </w:tc>
        <w:tc>
          <w:tcPr>
            <w:tcW w:w="1689" w:type="dxa"/>
            <w:shd w:val="clear" w:color="auto" w:fill="auto"/>
            <w:vAlign w:val="center"/>
          </w:tcPr>
          <w:p w14:paraId="24C1BCCA">
            <w:pPr>
              <w:pStyle w:val="178"/>
            </w:pPr>
            <w:r>
              <w:rPr>
                <w:rFonts w:hint="eastAsia"/>
              </w:rPr>
              <w:t>≥70</w:t>
            </w:r>
          </w:p>
        </w:tc>
        <w:tc>
          <w:tcPr>
            <w:tcW w:w="1689" w:type="dxa"/>
            <w:shd w:val="clear" w:color="auto" w:fill="auto"/>
            <w:vAlign w:val="center"/>
          </w:tcPr>
          <w:p w14:paraId="37744D40">
            <w:pPr>
              <w:pStyle w:val="178"/>
            </w:pPr>
            <w:r>
              <w:rPr>
                <w:rFonts w:hint="eastAsia"/>
              </w:rPr>
              <w:t>≥70</w:t>
            </w:r>
          </w:p>
        </w:tc>
        <w:tc>
          <w:tcPr>
            <w:tcW w:w="1689" w:type="dxa"/>
            <w:shd w:val="clear" w:color="auto" w:fill="auto"/>
            <w:vAlign w:val="center"/>
          </w:tcPr>
          <w:p w14:paraId="03C46F1D">
            <w:pPr>
              <w:pStyle w:val="178"/>
            </w:pPr>
            <w:r>
              <w:rPr>
                <w:rFonts w:hint="eastAsia"/>
              </w:rPr>
              <w:t>≥50</w:t>
            </w:r>
          </w:p>
        </w:tc>
        <w:tc>
          <w:tcPr>
            <w:tcW w:w="1867" w:type="dxa"/>
            <w:shd w:val="clear" w:color="auto" w:fill="auto"/>
            <w:vAlign w:val="center"/>
          </w:tcPr>
          <w:p w14:paraId="21E75D5D">
            <w:pPr>
              <w:pStyle w:val="178"/>
            </w:pPr>
            <w:r>
              <w:t>GB/T 13025.2</w:t>
            </w:r>
          </w:p>
        </w:tc>
      </w:tr>
      <w:tr w14:paraId="7FAD5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3DD343A3">
            <w:pPr>
              <w:pStyle w:val="178"/>
            </w:pPr>
            <w:r>
              <w:rPr>
                <w:rFonts w:hint="eastAsia"/>
              </w:rPr>
              <w:t>氯化钠，g/100g</w:t>
            </w:r>
          </w:p>
        </w:tc>
        <w:tc>
          <w:tcPr>
            <w:tcW w:w="1689" w:type="dxa"/>
            <w:shd w:val="clear" w:color="auto" w:fill="auto"/>
            <w:vAlign w:val="center"/>
          </w:tcPr>
          <w:p w14:paraId="39264819">
            <w:pPr>
              <w:pStyle w:val="178"/>
            </w:pPr>
            <w:r>
              <w:rPr>
                <w:rFonts w:hint="eastAsia"/>
              </w:rPr>
              <w:t>≥97.50</w:t>
            </w:r>
          </w:p>
          <w:p w14:paraId="6CD68A32">
            <w:pPr>
              <w:pStyle w:val="178"/>
            </w:pPr>
            <w:r>
              <w:rPr>
                <w:rFonts w:hint="eastAsia"/>
              </w:rPr>
              <w:t>（以湿基计）</w:t>
            </w:r>
          </w:p>
        </w:tc>
        <w:tc>
          <w:tcPr>
            <w:tcW w:w="1689" w:type="dxa"/>
            <w:shd w:val="clear" w:color="auto" w:fill="auto"/>
            <w:vAlign w:val="center"/>
          </w:tcPr>
          <w:p w14:paraId="0852DBD7">
            <w:pPr>
              <w:pStyle w:val="178"/>
            </w:pPr>
            <w:r>
              <w:rPr>
                <w:rFonts w:hint="eastAsia"/>
              </w:rPr>
              <w:t>65～90</w:t>
            </w:r>
          </w:p>
          <w:p w14:paraId="7D809307">
            <w:pPr>
              <w:pStyle w:val="178"/>
            </w:pPr>
            <w:r>
              <w:rPr>
                <w:rFonts w:hint="eastAsia"/>
              </w:rPr>
              <w:t>（以干基计）</w:t>
            </w:r>
          </w:p>
        </w:tc>
        <w:tc>
          <w:tcPr>
            <w:tcW w:w="1689" w:type="dxa"/>
            <w:shd w:val="clear" w:color="auto" w:fill="auto"/>
            <w:vAlign w:val="center"/>
          </w:tcPr>
          <w:p w14:paraId="07FB4103">
            <w:pPr>
              <w:pStyle w:val="178"/>
            </w:pPr>
            <w:r>
              <w:rPr>
                <w:rFonts w:hint="eastAsia"/>
              </w:rPr>
              <w:t>≥98.20</w:t>
            </w:r>
          </w:p>
          <w:p w14:paraId="48955EEA">
            <w:pPr>
              <w:pStyle w:val="178"/>
            </w:pPr>
            <w:r>
              <w:rPr>
                <w:rFonts w:hint="eastAsia"/>
              </w:rPr>
              <w:t>（以湿基计）</w:t>
            </w:r>
          </w:p>
        </w:tc>
        <w:tc>
          <w:tcPr>
            <w:tcW w:w="1867" w:type="dxa"/>
            <w:shd w:val="clear" w:color="auto" w:fill="auto"/>
            <w:vAlign w:val="center"/>
          </w:tcPr>
          <w:p w14:paraId="25671C17">
            <w:pPr>
              <w:pStyle w:val="178"/>
            </w:pPr>
            <w:r>
              <w:t>GB 5009.42</w:t>
            </w:r>
          </w:p>
        </w:tc>
      </w:tr>
      <w:tr w14:paraId="68E7B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375A07DA">
            <w:pPr>
              <w:pStyle w:val="178"/>
            </w:pPr>
            <w:r>
              <w:rPr>
                <w:rFonts w:hint="eastAsia"/>
              </w:rPr>
              <w:t>氯化钾，g/100g</w:t>
            </w:r>
          </w:p>
        </w:tc>
        <w:tc>
          <w:tcPr>
            <w:tcW w:w="1689" w:type="dxa"/>
            <w:shd w:val="clear" w:color="auto" w:fill="auto"/>
            <w:vAlign w:val="center"/>
          </w:tcPr>
          <w:p w14:paraId="13EC1655">
            <w:pPr>
              <w:pStyle w:val="178"/>
            </w:pPr>
            <w:r>
              <w:rPr>
                <w:rFonts w:hint="eastAsia"/>
              </w:rPr>
              <w:t>/</w:t>
            </w:r>
          </w:p>
        </w:tc>
        <w:tc>
          <w:tcPr>
            <w:tcW w:w="1689" w:type="dxa"/>
            <w:shd w:val="clear" w:color="auto" w:fill="auto"/>
            <w:vAlign w:val="center"/>
          </w:tcPr>
          <w:p w14:paraId="63217014">
            <w:pPr>
              <w:pStyle w:val="178"/>
            </w:pPr>
            <w:r>
              <w:rPr>
                <w:rFonts w:hint="eastAsia"/>
              </w:rPr>
              <w:t>10～35（以干基计）</w:t>
            </w:r>
          </w:p>
        </w:tc>
        <w:tc>
          <w:tcPr>
            <w:tcW w:w="1689" w:type="dxa"/>
            <w:shd w:val="clear" w:color="auto" w:fill="auto"/>
            <w:vAlign w:val="center"/>
          </w:tcPr>
          <w:p w14:paraId="14D587C2">
            <w:pPr>
              <w:pStyle w:val="178"/>
            </w:pPr>
            <w:r>
              <w:rPr>
                <w:rFonts w:hint="eastAsia"/>
              </w:rPr>
              <w:t>/</w:t>
            </w:r>
          </w:p>
        </w:tc>
        <w:tc>
          <w:tcPr>
            <w:tcW w:w="1867" w:type="dxa"/>
            <w:shd w:val="clear" w:color="auto" w:fill="auto"/>
            <w:vAlign w:val="center"/>
          </w:tcPr>
          <w:p w14:paraId="5EC5E4CF">
            <w:pPr>
              <w:pStyle w:val="178"/>
            </w:pPr>
            <w:r>
              <w:t>GB 5009.42</w:t>
            </w:r>
          </w:p>
        </w:tc>
      </w:tr>
      <w:tr w14:paraId="6CE27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1B595D7B">
            <w:pPr>
              <w:pStyle w:val="178"/>
            </w:pPr>
            <w:r>
              <w:rPr>
                <w:rFonts w:hint="eastAsia"/>
              </w:rPr>
              <w:t>水分（以湿基计），g/100g</w:t>
            </w:r>
          </w:p>
        </w:tc>
        <w:tc>
          <w:tcPr>
            <w:tcW w:w="1689" w:type="dxa"/>
            <w:shd w:val="clear" w:color="auto" w:fill="auto"/>
            <w:vAlign w:val="center"/>
          </w:tcPr>
          <w:p w14:paraId="4E63F619">
            <w:pPr>
              <w:pStyle w:val="178"/>
            </w:pPr>
            <w:r>
              <w:rPr>
                <w:rFonts w:hint="eastAsia"/>
              </w:rPr>
              <w:t>≤2.00</w:t>
            </w:r>
          </w:p>
        </w:tc>
        <w:tc>
          <w:tcPr>
            <w:tcW w:w="1689" w:type="dxa"/>
            <w:shd w:val="clear" w:color="auto" w:fill="auto"/>
            <w:vAlign w:val="center"/>
          </w:tcPr>
          <w:p w14:paraId="6BE502AF">
            <w:pPr>
              <w:pStyle w:val="178"/>
            </w:pPr>
            <w:r>
              <w:rPr>
                <w:rFonts w:hint="eastAsia"/>
              </w:rPr>
              <w:t>≤2.00</w:t>
            </w:r>
          </w:p>
        </w:tc>
        <w:tc>
          <w:tcPr>
            <w:tcW w:w="1689" w:type="dxa"/>
            <w:shd w:val="clear" w:color="auto" w:fill="auto"/>
            <w:vAlign w:val="center"/>
          </w:tcPr>
          <w:p w14:paraId="4BA4D91A">
            <w:pPr>
              <w:pStyle w:val="178"/>
            </w:pPr>
            <w:r>
              <w:rPr>
                <w:rFonts w:hint="eastAsia"/>
              </w:rPr>
              <w:t>≤1.50</w:t>
            </w:r>
          </w:p>
        </w:tc>
        <w:tc>
          <w:tcPr>
            <w:tcW w:w="1867" w:type="dxa"/>
            <w:shd w:val="clear" w:color="auto" w:fill="auto"/>
            <w:vAlign w:val="center"/>
          </w:tcPr>
          <w:p w14:paraId="0E299915">
            <w:pPr>
              <w:pStyle w:val="178"/>
            </w:pPr>
            <w:r>
              <w:t>GB/T 13025.3</w:t>
            </w:r>
          </w:p>
        </w:tc>
      </w:tr>
      <w:tr w14:paraId="7827F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48055831">
            <w:pPr>
              <w:pStyle w:val="178"/>
            </w:pPr>
            <w:r>
              <w:rPr>
                <w:rFonts w:hint="eastAsia"/>
              </w:rPr>
              <w:t>水不溶物（以湿基计），g/100g</w:t>
            </w:r>
          </w:p>
        </w:tc>
        <w:tc>
          <w:tcPr>
            <w:tcW w:w="1689" w:type="dxa"/>
            <w:shd w:val="clear" w:color="auto" w:fill="auto"/>
            <w:vAlign w:val="center"/>
          </w:tcPr>
          <w:p w14:paraId="10153615">
            <w:pPr>
              <w:pStyle w:val="178"/>
            </w:pPr>
            <w:r>
              <w:rPr>
                <w:rFonts w:hint="eastAsia"/>
              </w:rPr>
              <w:t>≤0.10</w:t>
            </w:r>
          </w:p>
        </w:tc>
        <w:tc>
          <w:tcPr>
            <w:tcW w:w="1689" w:type="dxa"/>
            <w:shd w:val="clear" w:color="auto" w:fill="auto"/>
            <w:vAlign w:val="center"/>
          </w:tcPr>
          <w:p w14:paraId="18C874C9">
            <w:pPr>
              <w:pStyle w:val="178"/>
            </w:pPr>
            <w:r>
              <w:rPr>
                <w:rFonts w:hint="eastAsia"/>
              </w:rPr>
              <w:t>≤0.10</w:t>
            </w:r>
          </w:p>
        </w:tc>
        <w:tc>
          <w:tcPr>
            <w:tcW w:w="1689" w:type="dxa"/>
            <w:shd w:val="clear" w:color="auto" w:fill="auto"/>
            <w:vAlign w:val="center"/>
          </w:tcPr>
          <w:p w14:paraId="5D34FC7D">
            <w:pPr>
              <w:pStyle w:val="178"/>
            </w:pPr>
            <w:r>
              <w:rPr>
                <w:rFonts w:hint="eastAsia"/>
              </w:rPr>
              <w:t>≤0.10</w:t>
            </w:r>
          </w:p>
        </w:tc>
        <w:tc>
          <w:tcPr>
            <w:tcW w:w="1867" w:type="dxa"/>
            <w:shd w:val="clear" w:color="auto" w:fill="auto"/>
            <w:vAlign w:val="center"/>
          </w:tcPr>
          <w:p w14:paraId="54C72D76">
            <w:pPr>
              <w:pStyle w:val="178"/>
            </w:pPr>
            <w:r>
              <w:t>GB/T 13025.4</w:t>
            </w:r>
          </w:p>
        </w:tc>
      </w:tr>
      <w:tr w14:paraId="6C86A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2F4F544E">
            <w:pPr>
              <w:pStyle w:val="178"/>
            </w:pPr>
            <w:r>
              <w:rPr>
                <w:rFonts w:hint="eastAsia"/>
              </w:rPr>
              <w:t>硫酸根（以湿基计），g/100g</w:t>
            </w:r>
          </w:p>
        </w:tc>
        <w:tc>
          <w:tcPr>
            <w:tcW w:w="1689" w:type="dxa"/>
            <w:shd w:val="clear" w:color="auto" w:fill="auto"/>
            <w:vAlign w:val="center"/>
          </w:tcPr>
          <w:p w14:paraId="1161F2E7">
            <w:pPr>
              <w:pStyle w:val="178"/>
            </w:pPr>
            <w:r>
              <w:rPr>
                <w:rFonts w:hint="eastAsia"/>
              </w:rPr>
              <w:t>≤0.30</w:t>
            </w:r>
          </w:p>
        </w:tc>
        <w:tc>
          <w:tcPr>
            <w:tcW w:w="1689" w:type="dxa"/>
            <w:shd w:val="clear" w:color="auto" w:fill="auto"/>
            <w:vAlign w:val="center"/>
          </w:tcPr>
          <w:p w14:paraId="75B05517">
            <w:pPr>
              <w:pStyle w:val="178"/>
            </w:pPr>
            <w:r>
              <w:rPr>
                <w:rFonts w:hint="eastAsia"/>
              </w:rPr>
              <w:t>≤0.30</w:t>
            </w:r>
          </w:p>
        </w:tc>
        <w:tc>
          <w:tcPr>
            <w:tcW w:w="1689" w:type="dxa"/>
            <w:shd w:val="clear" w:color="auto" w:fill="auto"/>
            <w:vAlign w:val="center"/>
          </w:tcPr>
          <w:p w14:paraId="08BD5702">
            <w:pPr>
              <w:pStyle w:val="178"/>
            </w:pPr>
            <w:r>
              <w:rPr>
                <w:rFonts w:hint="eastAsia"/>
              </w:rPr>
              <w:t>≤0.30</w:t>
            </w:r>
          </w:p>
        </w:tc>
        <w:tc>
          <w:tcPr>
            <w:tcW w:w="1867" w:type="dxa"/>
            <w:shd w:val="clear" w:color="auto" w:fill="auto"/>
            <w:vAlign w:val="center"/>
          </w:tcPr>
          <w:p w14:paraId="62BFA0BF">
            <w:pPr>
              <w:pStyle w:val="178"/>
            </w:pPr>
            <w:r>
              <w:t>GB/T 13025.8</w:t>
            </w:r>
          </w:p>
        </w:tc>
      </w:tr>
      <w:tr w14:paraId="3BB5C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14:paraId="0401689D">
            <w:pPr>
              <w:pStyle w:val="178"/>
            </w:pPr>
            <w:r>
              <w:rPr>
                <w:rFonts w:hint="eastAsia"/>
              </w:rPr>
              <w:t>碘（以I计）mg/kg</w:t>
            </w:r>
          </w:p>
        </w:tc>
        <w:tc>
          <w:tcPr>
            <w:tcW w:w="5067" w:type="dxa"/>
            <w:gridSpan w:val="3"/>
            <w:shd w:val="clear" w:color="auto" w:fill="auto"/>
            <w:vAlign w:val="center"/>
          </w:tcPr>
          <w:p w14:paraId="0BE6951E">
            <w:pPr>
              <w:pStyle w:val="178"/>
            </w:pPr>
            <w:r>
              <w:rPr>
                <w:rFonts w:hint="eastAsia"/>
              </w:rPr>
              <w:t>按GB 26878规定执行（非碘盐不计）</w:t>
            </w:r>
          </w:p>
        </w:tc>
        <w:tc>
          <w:tcPr>
            <w:tcW w:w="1867" w:type="dxa"/>
            <w:shd w:val="clear" w:color="auto" w:fill="auto"/>
            <w:vAlign w:val="center"/>
          </w:tcPr>
          <w:p w14:paraId="27F34BF5">
            <w:pPr>
              <w:pStyle w:val="178"/>
              <w:ind w:firstLine="0" w:firstLineChars="0"/>
              <w:rPr>
                <w:rFonts w:ascii="宋体" w:hAnsi="Times New Roman" w:eastAsia="宋体" w:cs="Times New Roman"/>
                <w:sz w:val="18"/>
                <w:highlight w:val="yellow"/>
                <w:lang w:val="en-US" w:eastAsia="zh-CN" w:bidi="ar-SA"/>
              </w:rPr>
            </w:pPr>
            <w:r>
              <w:rPr>
                <w:highlight w:val="none"/>
              </w:rPr>
              <w:t>GB/T 13025.7</w:t>
            </w:r>
          </w:p>
        </w:tc>
      </w:tr>
      <w:tr w14:paraId="4090C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bottom w:val="single" w:color="auto" w:sz="8" w:space="0"/>
            </w:tcBorders>
            <w:shd w:val="clear" w:color="auto" w:fill="auto"/>
            <w:vAlign w:val="center"/>
          </w:tcPr>
          <w:p w14:paraId="47D3F013">
            <w:pPr>
              <w:pStyle w:val="178"/>
            </w:pPr>
            <w:r>
              <w:rPr>
                <w:rFonts w:hint="eastAsia"/>
              </w:rPr>
              <w:t>亚铁氰化钾（以[Fe(CN)</w:t>
            </w:r>
            <w:r>
              <w:rPr>
                <w:rFonts w:hint="eastAsia"/>
                <w:vertAlign w:val="subscript"/>
              </w:rPr>
              <w:t>6</w:t>
            </w:r>
            <w:r>
              <w:rPr>
                <w:rFonts w:hint="eastAsia"/>
              </w:rPr>
              <w:t>]</w:t>
            </w:r>
            <w:r>
              <w:rPr>
                <w:rFonts w:hint="eastAsia"/>
                <w:vertAlign w:val="superscript"/>
              </w:rPr>
              <w:t>4</w:t>
            </w:r>
            <w:r>
              <w:rPr>
                <w:rFonts w:hint="eastAsia"/>
              </w:rPr>
              <w:t>-计），mg/kg</w:t>
            </w:r>
          </w:p>
        </w:tc>
        <w:tc>
          <w:tcPr>
            <w:tcW w:w="1689" w:type="dxa"/>
            <w:tcBorders>
              <w:bottom w:val="single" w:color="auto" w:sz="8" w:space="0"/>
            </w:tcBorders>
            <w:shd w:val="clear" w:color="auto" w:fill="auto"/>
            <w:vAlign w:val="center"/>
          </w:tcPr>
          <w:p w14:paraId="0047BEA5">
            <w:pPr>
              <w:pStyle w:val="178"/>
            </w:pPr>
            <w:r>
              <w:rPr>
                <w:rFonts w:hint="eastAsia"/>
              </w:rPr>
              <w:t>不得检出</w:t>
            </w:r>
          </w:p>
          <w:p w14:paraId="28ADD867">
            <w:pPr>
              <w:pStyle w:val="178"/>
            </w:pPr>
            <w:r>
              <w:rPr>
                <w:rFonts w:hint="eastAsia"/>
              </w:rPr>
              <w:t>（方法检出限1.0）</w:t>
            </w:r>
          </w:p>
        </w:tc>
        <w:tc>
          <w:tcPr>
            <w:tcW w:w="1689" w:type="dxa"/>
            <w:tcBorders>
              <w:bottom w:val="single" w:color="auto" w:sz="8" w:space="0"/>
            </w:tcBorders>
            <w:shd w:val="clear" w:color="auto" w:fill="auto"/>
            <w:vAlign w:val="center"/>
          </w:tcPr>
          <w:p w14:paraId="3053B68B">
            <w:pPr>
              <w:pStyle w:val="178"/>
            </w:pPr>
            <w:r>
              <w:rPr>
                <w:rFonts w:hint="eastAsia"/>
              </w:rPr>
              <w:t>≤10</w:t>
            </w:r>
          </w:p>
        </w:tc>
        <w:tc>
          <w:tcPr>
            <w:tcW w:w="1689" w:type="dxa"/>
            <w:tcBorders>
              <w:bottom w:val="single" w:color="auto" w:sz="8" w:space="0"/>
            </w:tcBorders>
            <w:shd w:val="clear" w:color="auto" w:fill="auto"/>
            <w:vAlign w:val="center"/>
          </w:tcPr>
          <w:p w14:paraId="38081DA4">
            <w:pPr>
              <w:pStyle w:val="178"/>
            </w:pPr>
            <w:r>
              <w:rPr>
                <w:rFonts w:hint="eastAsia"/>
              </w:rPr>
              <w:t>不得检出</w:t>
            </w:r>
          </w:p>
          <w:p w14:paraId="168EC525">
            <w:pPr>
              <w:pStyle w:val="178"/>
            </w:pPr>
            <w:r>
              <w:rPr>
                <w:rFonts w:hint="eastAsia"/>
              </w:rPr>
              <w:t>（方法检出限1.0）</w:t>
            </w:r>
          </w:p>
        </w:tc>
        <w:tc>
          <w:tcPr>
            <w:tcW w:w="1867" w:type="dxa"/>
            <w:tcBorders>
              <w:bottom w:val="single" w:color="auto" w:sz="8" w:space="0"/>
            </w:tcBorders>
            <w:shd w:val="clear" w:color="auto" w:fill="auto"/>
            <w:vAlign w:val="center"/>
          </w:tcPr>
          <w:p w14:paraId="7E2DDD53">
            <w:pPr>
              <w:pStyle w:val="178"/>
            </w:pPr>
            <w:r>
              <w:t>GB 5009.42</w:t>
            </w:r>
          </w:p>
        </w:tc>
      </w:tr>
      <w:tr w14:paraId="33B7E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tcBorders>
              <w:top w:val="single" w:color="auto" w:sz="8" w:space="0"/>
              <w:bottom w:val="single" w:color="auto" w:sz="8" w:space="0"/>
            </w:tcBorders>
            <w:shd w:val="clear" w:color="auto" w:fill="auto"/>
            <w:vAlign w:val="center"/>
          </w:tcPr>
          <w:p w14:paraId="3EFD6BAF">
            <w:pPr>
              <w:pStyle w:val="180"/>
              <w:rPr>
                <w:rFonts w:hint="eastAsia"/>
              </w:rPr>
            </w:pPr>
            <w:r>
              <w:rPr>
                <w:rFonts w:hint="eastAsia"/>
              </w:rPr>
              <w:t>粒度指标可根据客户要求组织生产；</w:t>
            </w:r>
          </w:p>
          <w:p w14:paraId="16757937">
            <w:pPr>
              <w:pStyle w:val="180"/>
            </w:pPr>
            <w:r>
              <w:rPr>
                <w:rFonts w:hint="eastAsia"/>
              </w:rPr>
              <w:t>对高碘地区、不宜食用碘盐人群提供的非碘茶卡盐，碘含量（以I计）应＜5 mg/kg，并在包装显著位置标注“未加碘”字样。</w:t>
            </w:r>
          </w:p>
        </w:tc>
      </w:tr>
    </w:tbl>
    <w:p w14:paraId="5A5DE3E4">
      <w:pPr>
        <w:pStyle w:val="105"/>
        <w:spacing w:before="156" w:after="156"/>
        <w:rPr>
          <w:rFonts w:hint="eastAsia"/>
        </w:rPr>
      </w:pPr>
      <w:r>
        <w:rPr>
          <w:rFonts w:hint="eastAsia"/>
        </w:rPr>
        <w:t>污染物限量指标</w:t>
      </w:r>
    </w:p>
    <w:p w14:paraId="5EFC7BD1">
      <w:pPr>
        <w:pStyle w:val="56"/>
        <w:ind w:firstLine="420"/>
        <w:rPr>
          <w:rFonts w:hint="eastAsia"/>
        </w:rPr>
      </w:pPr>
      <w:r>
        <w:rPr>
          <w:rFonts w:hint="eastAsia"/>
        </w:rPr>
        <w:t>污染物限量指标应符合表3的规定。</w:t>
      </w:r>
    </w:p>
    <w:p w14:paraId="37ECF26E">
      <w:pPr>
        <w:pStyle w:val="112"/>
        <w:spacing w:before="156" w:after="156"/>
      </w:pPr>
      <w:r>
        <w:rPr>
          <w:rFonts w:hint="eastAsia"/>
        </w:rPr>
        <w:t>污染物限量指标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47DBE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399B318F">
            <w:pPr>
              <w:pStyle w:val="178"/>
            </w:pPr>
            <w:r>
              <w:rPr>
                <w:rFonts w:hint="eastAsia"/>
              </w:rPr>
              <w:t>项目</w:t>
            </w:r>
          </w:p>
        </w:tc>
        <w:tc>
          <w:tcPr>
            <w:tcW w:w="3112" w:type="dxa"/>
            <w:tcBorders>
              <w:top w:val="single" w:color="auto" w:sz="8" w:space="0"/>
              <w:bottom w:val="single" w:color="auto" w:sz="8" w:space="0"/>
            </w:tcBorders>
            <w:shd w:val="clear" w:color="auto" w:fill="auto"/>
            <w:vAlign w:val="center"/>
          </w:tcPr>
          <w:p w14:paraId="11C9061B">
            <w:pPr>
              <w:pStyle w:val="178"/>
            </w:pPr>
            <w:r>
              <w:rPr>
                <w:rFonts w:hint="eastAsia"/>
              </w:rPr>
              <w:t>指标</w:t>
            </w:r>
          </w:p>
        </w:tc>
        <w:tc>
          <w:tcPr>
            <w:tcW w:w="3112" w:type="dxa"/>
            <w:tcBorders>
              <w:top w:val="single" w:color="auto" w:sz="8" w:space="0"/>
              <w:bottom w:val="single" w:color="auto" w:sz="8" w:space="0"/>
            </w:tcBorders>
            <w:shd w:val="clear" w:color="auto" w:fill="auto"/>
            <w:vAlign w:val="center"/>
          </w:tcPr>
          <w:p w14:paraId="67FBF467">
            <w:pPr>
              <w:pStyle w:val="178"/>
            </w:pPr>
            <w:r>
              <w:rPr>
                <w:rFonts w:hint="eastAsia"/>
              </w:rPr>
              <w:t>检验方法</w:t>
            </w:r>
          </w:p>
        </w:tc>
      </w:tr>
      <w:tr w14:paraId="52691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5B690BCD">
            <w:pPr>
              <w:pStyle w:val="178"/>
            </w:pPr>
            <w:r>
              <w:rPr>
                <w:rFonts w:hint="eastAsia"/>
              </w:rPr>
              <w:t>铅（以Pb计），mg/kg</w:t>
            </w:r>
          </w:p>
        </w:tc>
        <w:tc>
          <w:tcPr>
            <w:tcW w:w="3112" w:type="dxa"/>
            <w:tcBorders>
              <w:top w:val="single" w:color="auto" w:sz="8" w:space="0"/>
            </w:tcBorders>
            <w:shd w:val="clear" w:color="auto" w:fill="auto"/>
            <w:vAlign w:val="center"/>
          </w:tcPr>
          <w:p w14:paraId="67F6A949">
            <w:pPr>
              <w:pStyle w:val="178"/>
            </w:pPr>
            <w:r>
              <w:rPr>
                <w:rFonts w:hint="eastAsia"/>
              </w:rPr>
              <w:t>≤1.0</w:t>
            </w:r>
          </w:p>
        </w:tc>
        <w:tc>
          <w:tcPr>
            <w:tcW w:w="3112" w:type="dxa"/>
            <w:tcBorders>
              <w:top w:val="single" w:color="auto" w:sz="8" w:space="0"/>
            </w:tcBorders>
            <w:shd w:val="clear" w:color="auto" w:fill="auto"/>
            <w:vAlign w:val="center"/>
          </w:tcPr>
          <w:p w14:paraId="7CC95259">
            <w:pPr>
              <w:pStyle w:val="178"/>
            </w:pPr>
            <w:r>
              <w:rPr>
                <w:rFonts w:hint="eastAsia"/>
              </w:rPr>
              <w:t>GB 5009.42</w:t>
            </w:r>
          </w:p>
        </w:tc>
      </w:tr>
      <w:tr w14:paraId="44C4B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23D8D320">
            <w:pPr>
              <w:pStyle w:val="178"/>
            </w:pPr>
            <w:r>
              <w:rPr>
                <w:rFonts w:hint="eastAsia"/>
              </w:rPr>
              <w:t>镉（以Cd计），mg/kg</w:t>
            </w:r>
          </w:p>
        </w:tc>
        <w:tc>
          <w:tcPr>
            <w:tcW w:w="3112" w:type="dxa"/>
            <w:shd w:val="clear" w:color="auto" w:fill="auto"/>
            <w:vAlign w:val="center"/>
          </w:tcPr>
          <w:p w14:paraId="502836F5">
            <w:pPr>
              <w:pStyle w:val="178"/>
            </w:pPr>
            <w:r>
              <w:rPr>
                <w:rFonts w:hint="eastAsia"/>
              </w:rPr>
              <w:t>≤0.5</w:t>
            </w:r>
          </w:p>
        </w:tc>
        <w:tc>
          <w:tcPr>
            <w:tcW w:w="3112" w:type="dxa"/>
            <w:shd w:val="clear" w:color="auto" w:fill="auto"/>
            <w:vAlign w:val="center"/>
          </w:tcPr>
          <w:p w14:paraId="31D14805">
            <w:pPr>
              <w:pStyle w:val="178"/>
            </w:pPr>
            <w:r>
              <w:rPr>
                <w:rFonts w:hint="eastAsia"/>
              </w:rPr>
              <w:t>GB 5009.42</w:t>
            </w:r>
          </w:p>
        </w:tc>
      </w:tr>
      <w:tr w14:paraId="4F72C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A3AC7BB">
            <w:pPr>
              <w:pStyle w:val="178"/>
            </w:pPr>
            <w:r>
              <w:rPr>
                <w:rFonts w:hint="eastAsia"/>
              </w:rPr>
              <w:t>总汞（以Hg计），mg/kg</w:t>
            </w:r>
          </w:p>
        </w:tc>
        <w:tc>
          <w:tcPr>
            <w:tcW w:w="3112" w:type="dxa"/>
            <w:shd w:val="clear" w:color="auto" w:fill="auto"/>
            <w:vAlign w:val="center"/>
          </w:tcPr>
          <w:p w14:paraId="4C0D29F3">
            <w:pPr>
              <w:pStyle w:val="178"/>
            </w:pPr>
            <w:r>
              <w:rPr>
                <w:rFonts w:hint="eastAsia"/>
              </w:rPr>
              <w:t>≤0.1</w:t>
            </w:r>
          </w:p>
        </w:tc>
        <w:tc>
          <w:tcPr>
            <w:tcW w:w="3112" w:type="dxa"/>
            <w:shd w:val="clear" w:color="auto" w:fill="auto"/>
            <w:vAlign w:val="center"/>
          </w:tcPr>
          <w:p w14:paraId="300F2107">
            <w:pPr>
              <w:pStyle w:val="178"/>
            </w:pPr>
            <w:r>
              <w:rPr>
                <w:rFonts w:hint="eastAsia"/>
              </w:rPr>
              <w:t>GB 5009.42</w:t>
            </w:r>
          </w:p>
        </w:tc>
      </w:tr>
      <w:tr w14:paraId="02D6D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0C44F3E">
            <w:pPr>
              <w:pStyle w:val="178"/>
            </w:pPr>
            <w:r>
              <w:rPr>
                <w:rFonts w:hint="eastAsia"/>
              </w:rPr>
              <w:t>总砷（以As计），mg/kg</w:t>
            </w:r>
          </w:p>
        </w:tc>
        <w:tc>
          <w:tcPr>
            <w:tcW w:w="3112" w:type="dxa"/>
            <w:shd w:val="clear" w:color="auto" w:fill="auto"/>
            <w:vAlign w:val="center"/>
          </w:tcPr>
          <w:p w14:paraId="0620A34B">
            <w:pPr>
              <w:pStyle w:val="178"/>
            </w:pPr>
            <w:r>
              <w:rPr>
                <w:rFonts w:hint="eastAsia"/>
              </w:rPr>
              <w:t>≤0.5</w:t>
            </w:r>
          </w:p>
        </w:tc>
        <w:tc>
          <w:tcPr>
            <w:tcW w:w="3112" w:type="dxa"/>
            <w:shd w:val="clear" w:color="auto" w:fill="auto"/>
            <w:vAlign w:val="center"/>
          </w:tcPr>
          <w:p w14:paraId="2D251657">
            <w:pPr>
              <w:pStyle w:val="178"/>
            </w:pPr>
            <w:r>
              <w:rPr>
                <w:rFonts w:hint="eastAsia"/>
              </w:rPr>
              <w:t>GB 5009.42</w:t>
            </w:r>
          </w:p>
        </w:tc>
      </w:tr>
    </w:tbl>
    <w:p w14:paraId="260FB112">
      <w:pPr>
        <w:pStyle w:val="105"/>
        <w:spacing w:before="156" w:after="156"/>
        <w:rPr>
          <w:rFonts w:hint="eastAsia"/>
        </w:rPr>
      </w:pPr>
      <w:r>
        <w:rPr>
          <w:rFonts w:hint="eastAsia"/>
        </w:rPr>
        <w:t>食品添加剂和营养强化剂</w:t>
      </w:r>
    </w:p>
    <w:p w14:paraId="4308BC28">
      <w:pPr>
        <w:pStyle w:val="56"/>
        <w:ind w:firstLine="420"/>
        <w:rPr>
          <w:rFonts w:hint="eastAsia"/>
        </w:rPr>
      </w:pPr>
      <w:r>
        <w:rPr>
          <w:rFonts w:hint="eastAsia"/>
        </w:rPr>
        <w:t>食品添加剂和营养强化剂的使用应符合GB 2760及GB 14880标准规定。</w:t>
      </w:r>
    </w:p>
    <w:p w14:paraId="41272259">
      <w:pPr>
        <w:pStyle w:val="105"/>
        <w:spacing w:before="156" w:after="156"/>
        <w:rPr>
          <w:rFonts w:hint="eastAsia"/>
        </w:rPr>
      </w:pPr>
      <w:r>
        <w:rPr>
          <w:rFonts w:hint="eastAsia"/>
        </w:rPr>
        <w:t>净含量</w:t>
      </w:r>
    </w:p>
    <w:p w14:paraId="155D85AE">
      <w:pPr>
        <w:pStyle w:val="56"/>
        <w:ind w:firstLine="420"/>
        <w:rPr>
          <w:rFonts w:hint="eastAsia"/>
        </w:rPr>
      </w:pPr>
      <w:r>
        <w:rPr>
          <w:rFonts w:hint="eastAsia"/>
        </w:rPr>
        <w:t>单件定量包装产品的净含量应符合《定量包装商品计量监督管理办法》（国家市场监督管理总局第70号令），检验方法按JJF 1070的规定执行。</w:t>
      </w:r>
    </w:p>
    <w:p w14:paraId="3FDE136B">
      <w:pPr>
        <w:pStyle w:val="104"/>
        <w:spacing w:before="312" w:after="312"/>
        <w:rPr>
          <w:rFonts w:hint="eastAsia"/>
        </w:rPr>
      </w:pPr>
      <w:bookmarkStart w:id="49" w:name="_Toc193819686"/>
      <w:r>
        <w:rPr>
          <w:rFonts w:hint="eastAsia"/>
        </w:rPr>
        <w:t>检验规则</w:t>
      </w:r>
      <w:bookmarkEnd w:id="49"/>
    </w:p>
    <w:p w14:paraId="459BB3FB">
      <w:pPr>
        <w:pStyle w:val="105"/>
        <w:spacing w:before="156" w:after="156"/>
        <w:rPr>
          <w:rFonts w:hint="eastAsia"/>
        </w:rPr>
      </w:pPr>
      <w:r>
        <w:rPr>
          <w:rFonts w:hint="eastAsia"/>
        </w:rPr>
        <w:t>检验分类</w:t>
      </w:r>
    </w:p>
    <w:p w14:paraId="0154824C">
      <w:pPr>
        <w:pStyle w:val="65"/>
        <w:spacing w:before="156" w:after="156"/>
        <w:rPr>
          <w:rFonts w:hint="eastAsia"/>
        </w:rPr>
      </w:pPr>
      <w:r>
        <w:rPr>
          <w:rFonts w:hint="eastAsia"/>
        </w:rPr>
        <w:t>出厂检验</w:t>
      </w:r>
    </w:p>
    <w:p w14:paraId="2217567B">
      <w:pPr>
        <w:pStyle w:val="56"/>
        <w:ind w:firstLine="420"/>
        <w:rPr>
          <w:rFonts w:hint="eastAsia"/>
        </w:rPr>
      </w:pPr>
      <w:r>
        <w:rPr>
          <w:rFonts w:hint="eastAsia"/>
        </w:rPr>
        <w:t>每批产品出厂前均应进行出厂检验，检验内容包括白度、粒度、氯化钠、水分、水不溶物和碘六个项目，产品经检验合格后方可出厂。</w:t>
      </w:r>
    </w:p>
    <w:p w14:paraId="745D815A">
      <w:pPr>
        <w:pStyle w:val="65"/>
        <w:spacing w:before="156" w:after="156"/>
        <w:rPr>
          <w:rFonts w:hint="eastAsia"/>
        </w:rPr>
      </w:pPr>
      <w:r>
        <w:rPr>
          <w:rFonts w:hint="eastAsia"/>
        </w:rPr>
        <w:t>型式检验</w:t>
      </w:r>
    </w:p>
    <w:p w14:paraId="423848C7">
      <w:pPr>
        <w:pStyle w:val="56"/>
        <w:ind w:firstLine="420"/>
        <w:rPr>
          <w:rFonts w:hint="eastAsia"/>
        </w:rPr>
      </w:pPr>
      <w:r>
        <w:rPr>
          <w:rFonts w:hint="eastAsia"/>
        </w:rPr>
        <w:t>型式检验是对产品进行全面检验，即对本文件规定的感官、理化、食品添加剂、营养强化剂和污染物限量指标进行检验。有下列情况之一时进行型式检验：</w:t>
      </w:r>
    </w:p>
    <w:p w14:paraId="044CCBE5">
      <w:pPr>
        <w:pStyle w:val="174"/>
        <w:rPr>
          <w:rFonts w:hint="eastAsia"/>
        </w:rPr>
      </w:pPr>
      <w:r>
        <w:rPr>
          <w:rFonts w:hint="eastAsia"/>
        </w:rPr>
        <w:t>长期停产后恢复生产时；</w:t>
      </w:r>
    </w:p>
    <w:p w14:paraId="1136BC41">
      <w:pPr>
        <w:pStyle w:val="174"/>
        <w:rPr>
          <w:rFonts w:hint="eastAsia"/>
        </w:rPr>
      </w:pPr>
      <w:r>
        <w:rPr>
          <w:rFonts w:hint="eastAsia"/>
        </w:rPr>
        <w:t>原料、生产工艺、生产环境发生较大变化可能影响产品质量时；</w:t>
      </w:r>
    </w:p>
    <w:p w14:paraId="7BE0B598">
      <w:pPr>
        <w:pStyle w:val="174"/>
        <w:rPr>
          <w:rFonts w:hint="eastAsia"/>
        </w:rPr>
      </w:pPr>
      <w:r>
        <w:rPr>
          <w:rFonts w:hint="eastAsia"/>
        </w:rPr>
        <w:t>出厂检验结果与上次型式检验有较大差异时；</w:t>
      </w:r>
    </w:p>
    <w:p w14:paraId="76A379F5">
      <w:pPr>
        <w:pStyle w:val="174"/>
        <w:rPr>
          <w:rFonts w:hint="eastAsia"/>
        </w:rPr>
      </w:pPr>
      <w:r>
        <w:rPr>
          <w:rFonts w:hint="eastAsia"/>
        </w:rPr>
        <w:t>主管部门提出进行型式检验时；</w:t>
      </w:r>
    </w:p>
    <w:p w14:paraId="788AA203">
      <w:pPr>
        <w:pStyle w:val="174"/>
        <w:rPr>
          <w:rFonts w:hint="eastAsia"/>
        </w:rPr>
      </w:pPr>
      <w:r>
        <w:rPr>
          <w:rFonts w:hint="eastAsia"/>
        </w:rPr>
        <w:t>正常生产应每半年进行一次型式检验。</w:t>
      </w:r>
    </w:p>
    <w:p w14:paraId="79765096">
      <w:pPr>
        <w:pStyle w:val="105"/>
        <w:spacing w:before="156" w:after="156"/>
        <w:rPr>
          <w:rFonts w:hint="eastAsia"/>
        </w:rPr>
      </w:pPr>
      <w:r>
        <w:rPr>
          <w:rFonts w:hint="eastAsia"/>
        </w:rPr>
        <w:t>组批</w:t>
      </w:r>
    </w:p>
    <w:p w14:paraId="4AFE824D">
      <w:pPr>
        <w:pStyle w:val="56"/>
        <w:ind w:firstLine="420"/>
        <w:rPr>
          <w:rFonts w:hint="eastAsia"/>
        </w:rPr>
      </w:pPr>
      <w:r>
        <w:rPr>
          <w:rFonts w:hint="eastAsia"/>
        </w:rPr>
        <w:t>由相同的加工方式生产的同一批原料、同一生产线、相同的加工方法生产的同一等级的一次交付的产品构成一批。</w:t>
      </w:r>
    </w:p>
    <w:p w14:paraId="20D9AEE6">
      <w:pPr>
        <w:pStyle w:val="105"/>
        <w:spacing w:before="156" w:after="156"/>
        <w:rPr>
          <w:rFonts w:hint="eastAsia"/>
        </w:rPr>
      </w:pPr>
      <w:r>
        <w:rPr>
          <w:rFonts w:hint="eastAsia"/>
        </w:rPr>
        <w:t>抽样方法</w:t>
      </w:r>
    </w:p>
    <w:p w14:paraId="5A1768BF">
      <w:pPr>
        <w:pStyle w:val="56"/>
        <w:ind w:firstLine="420"/>
        <w:rPr>
          <w:rFonts w:hint="eastAsia"/>
        </w:rPr>
      </w:pPr>
      <w:r>
        <w:rPr>
          <w:rFonts w:hint="eastAsia"/>
        </w:rPr>
        <w:t>对于构不成批量（&lt;100 kg）的食用盐产品，随机抽取800 g以上样品，混匀后平均分成两份，一份用于检测，一份作为备份样。</w:t>
      </w:r>
    </w:p>
    <w:p w14:paraId="4F1A5442">
      <w:pPr>
        <w:pStyle w:val="56"/>
        <w:ind w:firstLine="420"/>
        <w:rPr>
          <w:rFonts w:hint="eastAsia"/>
        </w:rPr>
      </w:pPr>
      <w:r>
        <w:rPr>
          <w:rFonts w:hint="eastAsia"/>
        </w:rPr>
        <w:t>对于批量（≥100 kg）食用盐产品，碘强化剂项目的抽样按均匀分布，随机抽取9份样，每份样应不少于50 g。其他项目按GB/T 8618中第4章规定执行。</w:t>
      </w:r>
    </w:p>
    <w:p w14:paraId="401F3EE5">
      <w:pPr>
        <w:pStyle w:val="104"/>
        <w:spacing w:before="312" w:after="312"/>
        <w:rPr>
          <w:rFonts w:hint="eastAsia"/>
        </w:rPr>
      </w:pPr>
      <w:bookmarkStart w:id="50" w:name="_Toc193819687"/>
      <w:r>
        <w:rPr>
          <w:rFonts w:hint="eastAsia"/>
        </w:rPr>
        <w:t>判定规则</w:t>
      </w:r>
      <w:bookmarkEnd w:id="50"/>
    </w:p>
    <w:p w14:paraId="09BCA5A5">
      <w:pPr>
        <w:pStyle w:val="56"/>
        <w:ind w:firstLine="420"/>
        <w:rPr>
          <w:rFonts w:hint="eastAsia"/>
        </w:rPr>
      </w:pPr>
      <w:r>
        <w:rPr>
          <w:rFonts w:hint="eastAsia"/>
        </w:rPr>
        <w:t>检验结果全部合格时则判定该批产品合格。型式检验项目如有一项不符合本标准，判该产品为不合格产品。出厂检验如有一项不符合本标准，则应在同批产品中加倍抽样，对不符合项目复检，如仍不符合本标准，判该产品为不合格。</w:t>
      </w:r>
    </w:p>
    <w:p w14:paraId="252B653D">
      <w:pPr>
        <w:pStyle w:val="104"/>
        <w:spacing w:before="312" w:after="312"/>
        <w:rPr>
          <w:rFonts w:hint="eastAsia"/>
        </w:rPr>
      </w:pPr>
      <w:bookmarkStart w:id="51" w:name="_Toc193819688"/>
      <w:r>
        <w:rPr>
          <w:rFonts w:hint="eastAsia"/>
        </w:rPr>
        <w:t>标签、包装、运输、贮存</w:t>
      </w:r>
      <w:bookmarkEnd w:id="51"/>
    </w:p>
    <w:p w14:paraId="0CD794C7">
      <w:pPr>
        <w:pStyle w:val="105"/>
        <w:spacing w:before="156" w:after="156"/>
        <w:rPr>
          <w:rFonts w:hint="eastAsia"/>
        </w:rPr>
      </w:pPr>
      <w:r>
        <w:rPr>
          <w:rFonts w:hint="eastAsia"/>
        </w:rPr>
        <w:t>标签</w:t>
      </w:r>
    </w:p>
    <w:p w14:paraId="457351F0">
      <w:pPr>
        <w:pStyle w:val="56"/>
        <w:ind w:firstLine="420"/>
        <w:rPr>
          <w:rFonts w:hint="eastAsia"/>
        </w:rPr>
      </w:pPr>
      <w:r>
        <w:rPr>
          <w:rFonts w:hint="eastAsia"/>
        </w:rPr>
        <w:t>预包装产品的标签应符合GB 7718、GB 28050和GB 2721的规定。加碘的食盐应有“加碘”文字标注或碘盐标志，并标明碘的含量，未添加碘的食盐应有“未加碘”文字标注。</w:t>
      </w:r>
    </w:p>
    <w:p w14:paraId="741B2E24">
      <w:pPr>
        <w:pStyle w:val="105"/>
        <w:spacing w:before="156" w:after="156"/>
        <w:rPr>
          <w:rFonts w:hint="eastAsia"/>
        </w:rPr>
      </w:pPr>
      <w:r>
        <w:rPr>
          <w:rFonts w:hint="eastAsia"/>
        </w:rPr>
        <w:t>包装</w:t>
      </w:r>
    </w:p>
    <w:p w14:paraId="51C5FFA2">
      <w:pPr>
        <w:pStyle w:val="56"/>
        <w:ind w:firstLine="420"/>
        <w:rPr>
          <w:rFonts w:hint="eastAsia"/>
        </w:rPr>
      </w:pPr>
      <w:r>
        <w:rPr>
          <w:rFonts w:hint="eastAsia"/>
        </w:rPr>
        <w:t>包装容器（袋）应用干燥、清洁、无污染并符合GB/T 28118、GB 4806.7和GB 4806.13 规定的材料。</w:t>
      </w:r>
    </w:p>
    <w:p w14:paraId="33ECBAB3">
      <w:pPr>
        <w:pStyle w:val="105"/>
        <w:spacing w:before="156" w:after="156"/>
        <w:rPr>
          <w:rFonts w:hint="eastAsia"/>
        </w:rPr>
      </w:pPr>
      <w:r>
        <w:rPr>
          <w:rFonts w:hint="eastAsia"/>
        </w:rPr>
        <w:t>运输</w:t>
      </w:r>
    </w:p>
    <w:p w14:paraId="1BC33E7F">
      <w:pPr>
        <w:pStyle w:val="56"/>
        <w:ind w:firstLine="420"/>
        <w:rPr>
          <w:rFonts w:hint="eastAsia"/>
        </w:rPr>
      </w:pPr>
      <w:r>
        <w:rPr>
          <w:rFonts w:hint="eastAsia"/>
        </w:rPr>
        <w:t>运输工具应清洁、干燥、无异味，运输时应防雨、防潮、防暴晒，严禁与有毒、有异味、易污染的物品混装、混运。</w:t>
      </w:r>
    </w:p>
    <w:p w14:paraId="2C413CF8">
      <w:pPr>
        <w:pStyle w:val="105"/>
        <w:spacing w:before="156" w:after="156"/>
        <w:rPr>
          <w:rFonts w:hint="eastAsia"/>
        </w:rPr>
      </w:pPr>
      <w:r>
        <w:rPr>
          <w:rFonts w:hint="eastAsia"/>
        </w:rPr>
        <w:t>贮存</w:t>
      </w:r>
    </w:p>
    <w:p w14:paraId="68155E90">
      <w:pPr>
        <w:pStyle w:val="56"/>
        <w:ind w:firstLine="420"/>
        <w:rPr>
          <w:rFonts w:hint="eastAsia"/>
        </w:rPr>
      </w:pPr>
      <w:r>
        <w:rPr>
          <w:rFonts w:hint="eastAsia"/>
        </w:rPr>
        <w:t>产品应贮存于清洁、阴凉、干燥的地方，不应与可能对产品造成污染的物品混存。防止雨淋、受潮，产品存放应隔墙离地。</w:t>
      </w:r>
    </w:p>
    <w:bookmarkEnd w:id="23"/>
    <w:p w14:paraId="0F886E84">
      <w:pPr>
        <w:pStyle w:val="56"/>
        <w:ind w:firstLine="0" w:firstLineChars="0"/>
        <w:jc w:val="center"/>
      </w:pPr>
      <w:bookmarkStart w:id="52" w:name="BookMark8"/>
      <w:r>
        <w:drawing>
          <wp:inline distT="0" distB="0" distL="0" distR="0">
            <wp:extent cx="1485900" cy="317500"/>
            <wp:effectExtent l="0" t="0" r="0" b="6350"/>
            <wp:docPr id="1235246133" name="图片 1"/>
            <wp:cNvGraphicFramePr/>
            <a:graphic xmlns:a="http://schemas.openxmlformats.org/drawingml/2006/main">
              <a:graphicData uri="http://schemas.openxmlformats.org/drawingml/2006/picture">
                <pic:pic xmlns:pic="http://schemas.openxmlformats.org/drawingml/2006/picture">
                  <pic:nvPicPr>
                    <pic:cNvPr id="1235246133"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84B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610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46F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4354">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63D3">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5834">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9982">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902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A637">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D28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4603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A00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EABCF">
    <w:pPr>
      <w:pStyle w:val="61"/>
      <w:rPr>
        <w:rFonts w:hint="eastAsia"/>
      </w:rPr>
    </w:pPr>
    <w:r>
      <w:fldChar w:fldCharType="begin"/>
    </w:r>
    <w:r>
      <w:instrText xml:space="preserve"> STYLEREF  标准文件_文件编号  \* MERGEFORMAT </w:instrText>
    </w:r>
    <w:r>
      <w:fldChar w:fldCharType="separate"/>
    </w:r>
    <w:r>
      <w:t>DB S63/ 0001—2025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359A">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S63/ 0001—2025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11B7">
    <w:pPr>
      <w:pStyle w:val="61"/>
      <w:rPr>
        <w:rFonts w:hint="eastAsia"/>
      </w:rPr>
    </w:pPr>
    <w:r>
      <w:fldChar w:fldCharType="begin"/>
    </w:r>
    <w:r>
      <w:instrText xml:space="preserve"> STYLEREF  标准文件_文件编号  \* MERGEFORMAT </w:instrText>
    </w:r>
    <w:r>
      <w:fldChar w:fldCharType="separate"/>
    </w:r>
    <w:r>
      <w:t>DB S63/ 0001—2025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0983">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S63/ 0001—2025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A15D">
    <w:pPr>
      <w:pStyle w:val="61"/>
      <w:rPr>
        <w:rFonts w:hint="eastAsia"/>
      </w:rPr>
    </w:pPr>
    <w:r>
      <w:fldChar w:fldCharType="begin"/>
    </w:r>
    <w:r>
      <w:instrText xml:space="preserve"> STYLEREF  标准文件_文件编号  \* MERGEFORMAT </w:instrText>
    </w:r>
    <w:r>
      <w:fldChar w:fldCharType="separate"/>
    </w:r>
    <w:r>
      <w:t>DB S63/ 0001—2025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D05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S63/ 0001—2025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Du68pYB7MDYHUfBjzTeUwxphc7nQPGDluSaQCQkaISnFYp2pC44fY4wstZ6om9hAHH4IDQH7vP9xJJRciFomMw==" w:salt="KUBWSbXnjwE9fOZ8FrpoNw=="/>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45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F2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E8B"/>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45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D7A"/>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AC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54B"/>
    <w:rsid w:val="00B4346D"/>
    <w:rsid w:val="00B440F4"/>
    <w:rsid w:val="00B4431D"/>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35E9"/>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2A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FC7"/>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DC6"/>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397961"/>
    <w:rsid w:val="176F1C78"/>
    <w:rsid w:val="1DD9637F"/>
    <w:rsid w:val="220815A1"/>
    <w:rsid w:val="2D85509C"/>
    <w:rsid w:val="3752594B"/>
    <w:rsid w:val="400A488F"/>
    <w:rsid w:val="4BCD146B"/>
    <w:rsid w:val="4C366808"/>
    <w:rsid w:val="4F67435C"/>
    <w:rsid w:val="4FB87457"/>
    <w:rsid w:val="5A80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D12A6992404E599CAD45640CF093C7"/>
        <w:style w:val=""/>
        <w:category>
          <w:name w:val="常规"/>
          <w:gallery w:val="placeholder"/>
        </w:category>
        <w:types>
          <w:type w:val="bbPlcHdr"/>
        </w:types>
        <w:behaviors>
          <w:behavior w:val="content"/>
        </w:behaviors>
        <w:description w:val=""/>
        <w:guid w:val="{1869F89F-D643-4539-8506-40BC4D50DF4E}"/>
      </w:docPartPr>
      <w:docPartBody>
        <w:p w14:paraId="05EA093F">
          <w:pPr>
            <w:pStyle w:val="5"/>
          </w:pPr>
          <w:r>
            <w:rPr>
              <w:rStyle w:val="4"/>
              <w:rFonts w:hint="eastAsia"/>
            </w:rPr>
            <w:t>单击或点击此处输入文字。</w:t>
          </w:r>
        </w:p>
      </w:docPartBody>
    </w:docPart>
    <w:docPart>
      <w:docPartPr>
        <w:name w:val="9C04A8F5086A445EABFF193E1BF8C3D6"/>
        <w:style w:val=""/>
        <w:category>
          <w:name w:val="常规"/>
          <w:gallery w:val="placeholder"/>
        </w:category>
        <w:types>
          <w:type w:val="bbPlcHdr"/>
        </w:types>
        <w:behaviors>
          <w:behavior w:val="content"/>
        </w:behaviors>
        <w:description w:val=""/>
        <w:guid w:val="{60A2CD52-4C06-435A-B0A0-544C6B6661D1}"/>
      </w:docPartPr>
      <w:docPartBody>
        <w:p w14:paraId="398FF516">
          <w:pPr>
            <w:pStyle w:val="6"/>
          </w:pPr>
          <w:r>
            <w:rPr>
              <w:rStyle w:val="4"/>
              <w:rFonts w:hint="eastAsia"/>
            </w:rPr>
            <w:t>选择一项。</w:t>
          </w:r>
        </w:p>
      </w:docPartBody>
    </w:docPart>
    <w:docPart>
      <w:docPartPr>
        <w:name w:val="5E5F988BDBDA4E3FAC90A346C42EBA32"/>
        <w:style w:val=""/>
        <w:category>
          <w:name w:val="常规"/>
          <w:gallery w:val="placeholder"/>
        </w:category>
        <w:types>
          <w:type w:val="bbPlcHdr"/>
        </w:types>
        <w:behaviors>
          <w:behavior w:val="content"/>
        </w:behaviors>
        <w:description w:val=""/>
        <w:guid w:val="{180E316D-7BF9-4C0F-995E-538DA0533296}"/>
      </w:docPartPr>
      <w:docPartBody>
        <w:p w14:paraId="156FDD84">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15"/>
    <w:rsid w:val="00721D15"/>
    <w:rsid w:val="00A5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D12A6992404E599CAD45640CF093C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C04A8F5086A445EABFF193E1BF8C3D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E5F988BDBDA4E3FAC90A346C42EBA3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3035</Words>
  <Characters>3680</Characters>
  <Lines>468</Lines>
  <Paragraphs>421</Paragraphs>
  <TotalTime>47</TotalTime>
  <ScaleCrop>false</ScaleCrop>
  <LinksUpToDate>false</LinksUpToDate>
  <CharactersWithSpaces>3861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2025-03-25T10:06:00Z</dcterms:created>
  <dc:creator>t4576</dc:creator>
  <dc:description>&lt;config cover="true" show_menu="true" version="1.0.0" doctype="SDKXY"&gt;_x000d_
&lt;/config&gt;</dc:description>
  <cp:lastModifiedBy>古丽</cp:lastModifiedBy>
  <cp:lastPrinted>2025-03-25T10:30:00Z</cp:lastPrinted>
  <dcterms:modified xsi:type="dcterms:W3CDTF">2025-08-15T02:58:14Z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eyJoZGlkIjoiNWViZTc5Mjg0ZjgxMzQxMDkyZTg2OTFkODRiNDIwMDgiLCJ1c2VySWQiOiIxNTY4NjczNjA2In0=</vt:lpwstr>
  </property>
  <property fmtid="{D5CDD505-2E9C-101B-9397-08002B2CF9AE}" pid="16" name="KSOProductBuildVer">
    <vt:lpwstr>2052-12.1.0.21915</vt:lpwstr>
  </property>
  <property fmtid="{D5CDD505-2E9C-101B-9397-08002B2CF9AE}" pid="17" name="ICV">
    <vt:lpwstr>D0B2736E061F4843AAD3916FB9D0EE08_13</vt:lpwstr>
  </property>
</Properties>
</file>